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7985" w14:textId="77777777" w:rsidR="007B4258" w:rsidRPr="0061416B" w:rsidRDefault="007B4258" w:rsidP="007B4258">
      <w:pPr>
        <w:pStyle w:val="Title"/>
        <w:ind w:left="-144" w:right="-144"/>
      </w:pPr>
      <w:bookmarkStart w:id="0" w:name="_GoBack"/>
      <w:bookmarkEnd w:id="0"/>
      <w:r w:rsidRPr="0061416B">
        <w:t>SAFE FOOD COALITION</w:t>
      </w:r>
    </w:p>
    <w:p w14:paraId="1BF6B6CA" w14:textId="77777777" w:rsidR="007B4258" w:rsidRPr="0061416B" w:rsidRDefault="007B4258" w:rsidP="007B4258">
      <w:pPr>
        <w:pStyle w:val="Title"/>
        <w:ind w:left="-144" w:right="-144"/>
        <w:rPr>
          <w:sz w:val="20"/>
          <w:szCs w:val="20"/>
        </w:rPr>
      </w:pPr>
    </w:p>
    <w:p w14:paraId="62CF2432" w14:textId="77777777" w:rsidR="007B4258" w:rsidRPr="0061416B" w:rsidRDefault="007B4258" w:rsidP="007B4258">
      <w:pPr>
        <w:pBdr>
          <w:bottom w:val="single" w:sz="12" w:space="0" w:color="auto"/>
        </w:pBdr>
        <w:ind w:left="-144" w:right="-144"/>
        <w:jc w:val="center"/>
      </w:pPr>
      <w:r w:rsidRPr="0061416B">
        <w:t>1620 I Street, NW, Suite 200, Washington, DC 20006  202-939-1010</w:t>
      </w:r>
    </w:p>
    <w:p w14:paraId="3FAC7093" w14:textId="77777777" w:rsidR="007B4258" w:rsidRPr="0061416B" w:rsidRDefault="007B4258" w:rsidP="007B4258">
      <w:pPr>
        <w:pBdr>
          <w:bottom w:val="single" w:sz="12" w:space="0" w:color="auto"/>
        </w:pBdr>
        <w:ind w:left="-144" w:right="-144"/>
        <w:jc w:val="center"/>
        <w:rPr>
          <w:sz w:val="16"/>
          <w:szCs w:val="16"/>
        </w:rPr>
      </w:pPr>
    </w:p>
    <w:p w14:paraId="55678C25"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The Honorable </w:t>
      </w:r>
      <w:r>
        <w:rPr>
          <w:rFonts w:ascii="Garamond" w:hAnsi="Garamond" w:cs="Times New Roman"/>
          <w:sz w:val="24"/>
          <w:szCs w:val="24"/>
        </w:rPr>
        <w:t>Mike Johnson</w:t>
      </w:r>
      <w:r w:rsidRPr="00282C3B">
        <w:rPr>
          <w:rFonts w:ascii="Garamond" w:hAnsi="Garamond" w:cs="Times New Roman"/>
          <w:sz w:val="24"/>
          <w:szCs w:val="24"/>
        </w:rPr>
        <w:t xml:space="preserve"> </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proofErr w:type="gramStart"/>
      <w:r w:rsidRPr="00282C3B">
        <w:rPr>
          <w:rFonts w:ascii="Garamond" w:hAnsi="Garamond" w:cs="Times New Roman"/>
          <w:sz w:val="24"/>
          <w:szCs w:val="24"/>
        </w:rPr>
        <w:t>The</w:t>
      </w:r>
      <w:proofErr w:type="gramEnd"/>
      <w:r w:rsidRPr="00282C3B">
        <w:rPr>
          <w:rFonts w:ascii="Garamond" w:hAnsi="Garamond" w:cs="Times New Roman"/>
          <w:sz w:val="24"/>
          <w:szCs w:val="24"/>
        </w:rPr>
        <w:t xml:space="preserve"> Honorable Charles Schumer </w:t>
      </w:r>
    </w:p>
    <w:p w14:paraId="007851FE"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Speaker</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 xml:space="preserve">Majority Leader </w:t>
      </w:r>
    </w:p>
    <w:p w14:paraId="22EE3BFE"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U.S. House of Representatives </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 xml:space="preserve">U.S. Senate </w:t>
      </w:r>
    </w:p>
    <w:p w14:paraId="28803407"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The Capitol </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proofErr w:type="gramStart"/>
      <w:r w:rsidRPr="00282C3B">
        <w:rPr>
          <w:rFonts w:ascii="Garamond" w:hAnsi="Garamond" w:cs="Times New Roman"/>
          <w:sz w:val="24"/>
          <w:szCs w:val="24"/>
        </w:rPr>
        <w:t>The</w:t>
      </w:r>
      <w:proofErr w:type="gramEnd"/>
      <w:r w:rsidRPr="00282C3B">
        <w:rPr>
          <w:rFonts w:ascii="Garamond" w:hAnsi="Garamond" w:cs="Times New Roman"/>
          <w:sz w:val="24"/>
          <w:szCs w:val="24"/>
        </w:rPr>
        <w:t xml:space="preserve"> Capitol </w:t>
      </w:r>
    </w:p>
    <w:p w14:paraId="5958AAB9"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Washington, DC 20515</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Washington, DC 20510</w:t>
      </w:r>
    </w:p>
    <w:p w14:paraId="399A69EA" w14:textId="77777777" w:rsidR="007B4258" w:rsidRPr="00282C3B" w:rsidRDefault="007B4258" w:rsidP="007B4258">
      <w:pPr>
        <w:pStyle w:val="NoSpacing"/>
        <w:ind w:left="-144" w:right="-144"/>
        <w:rPr>
          <w:rFonts w:ascii="Garamond" w:hAnsi="Garamond" w:cs="Times New Roman"/>
          <w:sz w:val="24"/>
          <w:szCs w:val="24"/>
        </w:rPr>
      </w:pPr>
    </w:p>
    <w:p w14:paraId="73DE0AF9"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The Honorable </w:t>
      </w:r>
      <w:r>
        <w:rPr>
          <w:rFonts w:ascii="Garamond" w:hAnsi="Garamond" w:cs="Times New Roman"/>
          <w:sz w:val="24"/>
          <w:szCs w:val="24"/>
        </w:rPr>
        <w:t>Hakeem Jeffries</w:t>
      </w:r>
      <w:r>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The Honorable Mitch McConnell</w:t>
      </w:r>
    </w:p>
    <w:p w14:paraId="2857F1E9"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Minority Leader</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 xml:space="preserve">Minority Leader </w:t>
      </w:r>
    </w:p>
    <w:p w14:paraId="50E8506F"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U.S. House of Representatives </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 xml:space="preserve">U.S. Senate </w:t>
      </w:r>
    </w:p>
    <w:p w14:paraId="7B629587" w14:textId="77777777" w:rsidR="007B4258" w:rsidRPr="00282C3B"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 xml:space="preserve">The Capitol </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proofErr w:type="gramStart"/>
      <w:r w:rsidRPr="00282C3B">
        <w:rPr>
          <w:rFonts w:ascii="Garamond" w:hAnsi="Garamond" w:cs="Times New Roman"/>
          <w:sz w:val="24"/>
          <w:szCs w:val="24"/>
        </w:rPr>
        <w:t>The</w:t>
      </w:r>
      <w:proofErr w:type="gramEnd"/>
      <w:r w:rsidRPr="00282C3B">
        <w:rPr>
          <w:rFonts w:ascii="Garamond" w:hAnsi="Garamond" w:cs="Times New Roman"/>
          <w:sz w:val="24"/>
          <w:szCs w:val="24"/>
        </w:rPr>
        <w:t xml:space="preserve"> Capitol </w:t>
      </w:r>
    </w:p>
    <w:p w14:paraId="100F48C4" w14:textId="77777777" w:rsidR="007B4258" w:rsidRDefault="007B4258" w:rsidP="007B4258">
      <w:pPr>
        <w:pStyle w:val="NoSpacing"/>
        <w:ind w:left="-144" w:right="-144"/>
        <w:rPr>
          <w:rFonts w:ascii="Garamond" w:hAnsi="Garamond" w:cs="Times New Roman"/>
          <w:sz w:val="24"/>
          <w:szCs w:val="24"/>
        </w:rPr>
      </w:pPr>
      <w:r w:rsidRPr="00282C3B">
        <w:rPr>
          <w:rFonts w:ascii="Garamond" w:hAnsi="Garamond" w:cs="Times New Roman"/>
          <w:sz w:val="24"/>
          <w:szCs w:val="24"/>
        </w:rPr>
        <w:t>Washington, DC 20515</w:t>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r>
      <w:r w:rsidRPr="00282C3B">
        <w:rPr>
          <w:rFonts w:ascii="Garamond" w:hAnsi="Garamond" w:cs="Times New Roman"/>
          <w:sz w:val="24"/>
          <w:szCs w:val="24"/>
        </w:rPr>
        <w:tab/>
        <w:t>Washington, DC 20510</w:t>
      </w:r>
    </w:p>
    <w:p w14:paraId="5D67C497" w14:textId="77777777" w:rsidR="00787B75" w:rsidRDefault="00787B75" w:rsidP="007B4258">
      <w:pPr>
        <w:pStyle w:val="NoSpacing"/>
        <w:ind w:left="-144" w:right="-144"/>
        <w:rPr>
          <w:rFonts w:ascii="Garamond" w:hAnsi="Garamond" w:cs="Times New Roman"/>
          <w:sz w:val="24"/>
          <w:szCs w:val="24"/>
        </w:rPr>
      </w:pPr>
    </w:p>
    <w:p w14:paraId="1B5C57E9" w14:textId="287DA7A2"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The Honorable Kay Granger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roofErr w:type="gramStart"/>
      <w:r w:rsidRPr="00787B75">
        <w:rPr>
          <w:rFonts w:ascii="Garamond" w:hAnsi="Garamond" w:cs="Times New Roman"/>
          <w:sz w:val="24"/>
          <w:szCs w:val="24"/>
        </w:rPr>
        <w:t>The</w:t>
      </w:r>
      <w:proofErr w:type="gramEnd"/>
      <w:r w:rsidRPr="00787B75">
        <w:rPr>
          <w:rFonts w:ascii="Garamond" w:hAnsi="Garamond" w:cs="Times New Roman"/>
          <w:sz w:val="24"/>
          <w:szCs w:val="24"/>
        </w:rPr>
        <w:t xml:space="preserve"> Honorable Rosa DeLauro</w:t>
      </w:r>
    </w:p>
    <w:p w14:paraId="40A55837" w14:textId="629EBA4C"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Chairwoman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Ranking Member</w:t>
      </w:r>
    </w:p>
    <w:p w14:paraId="22361644" w14:textId="6B7B082B"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House Committee on Appropriations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House Committee on Appropriations</w:t>
      </w:r>
    </w:p>
    <w:p w14:paraId="1000F1D8" w14:textId="0529E387"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H-307 The Capitol 1036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Longworth House Office Building</w:t>
      </w:r>
    </w:p>
    <w:p w14:paraId="0F4A955B" w14:textId="2C2FEFDA"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Washington, DC 20515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Washington, DC 20515</w:t>
      </w:r>
    </w:p>
    <w:p w14:paraId="32FDFD88" w14:textId="77777777" w:rsidR="00787B75" w:rsidRDefault="00787B75" w:rsidP="00787B75">
      <w:pPr>
        <w:pStyle w:val="NoSpacing"/>
        <w:ind w:left="-144" w:right="-144"/>
        <w:rPr>
          <w:rFonts w:ascii="Garamond" w:hAnsi="Garamond" w:cs="Times New Roman"/>
          <w:sz w:val="24"/>
          <w:szCs w:val="24"/>
        </w:rPr>
      </w:pPr>
    </w:p>
    <w:p w14:paraId="3B508C24" w14:textId="77CA9D35"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The Honorable Patty Murray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The Honorable Susan Collins</w:t>
      </w:r>
    </w:p>
    <w:p w14:paraId="1C1D10E1" w14:textId="5734E807"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Chairwoman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Vice Chair</w:t>
      </w:r>
    </w:p>
    <w:p w14:paraId="221D4C60" w14:textId="2EF516D5"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Senate Committee on Appropriations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Senate Committee on Appropriations</w:t>
      </w:r>
    </w:p>
    <w:p w14:paraId="5907C109" w14:textId="09DB98BC" w:rsidR="00787B75" w:rsidRPr="00787B75"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S-128, The Capitol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S-128, The Capitol</w:t>
      </w:r>
    </w:p>
    <w:p w14:paraId="763B85DC" w14:textId="08CF2D46" w:rsidR="00787B75" w:rsidRPr="00282C3B" w:rsidRDefault="00787B75" w:rsidP="00787B75">
      <w:pPr>
        <w:pStyle w:val="NoSpacing"/>
        <w:ind w:left="-144" w:right="-144"/>
        <w:rPr>
          <w:rFonts w:ascii="Garamond" w:hAnsi="Garamond" w:cs="Times New Roman"/>
          <w:sz w:val="24"/>
          <w:szCs w:val="24"/>
        </w:rPr>
      </w:pPr>
      <w:r w:rsidRPr="00787B75">
        <w:rPr>
          <w:rFonts w:ascii="Garamond" w:hAnsi="Garamond" w:cs="Times New Roman"/>
          <w:sz w:val="24"/>
          <w:szCs w:val="24"/>
        </w:rPr>
        <w:t xml:space="preserve">Washington, DC 20510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787B75">
        <w:rPr>
          <w:rFonts w:ascii="Garamond" w:hAnsi="Garamond" w:cs="Times New Roman"/>
          <w:sz w:val="24"/>
          <w:szCs w:val="24"/>
        </w:rPr>
        <w:t>Washington, DC 20510</w:t>
      </w:r>
    </w:p>
    <w:p w14:paraId="35675042" w14:textId="77777777" w:rsidR="007B4258" w:rsidRPr="00282C3B" w:rsidRDefault="007B4258" w:rsidP="007B4258">
      <w:pPr>
        <w:pStyle w:val="NoSpacing"/>
        <w:ind w:left="-144" w:right="-144"/>
        <w:rPr>
          <w:rFonts w:ascii="Garamond" w:hAnsi="Garamond" w:cs="Times New Roman"/>
          <w:sz w:val="24"/>
          <w:szCs w:val="24"/>
        </w:rPr>
      </w:pPr>
    </w:p>
    <w:p w14:paraId="577ED1A3" w14:textId="3098D495" w:rsidR="007B4258" w:rsidRPr="00282C3B" w:rsidRDefault="00F95273" w:rsidP="007B4258">
      <w:pPr>
        <w:pStyle w:val="NoSpacing"/>
        <w:ind w:left="-144" w:right="-144"/>
        <w:rPr>
          <w:rFonts w:ascii="Garamond" w:hAnsi="Garamond" w:cs="Times New Roman"/>
          <w:sz w:val="24"/>
          <w:szCs w:val="24"/>
        </w:rPr>
      </w:pPr>
      <w:r>
        <w:rPr>
          <w:rFonts w:ascii="Garamond" w:hAnsi="Garamond" w:cs="Times New Roman"/>
          <w:sz w:val="24"/>
          <w:szCs w:val="24"/>
        </w:rPr>
        <w:t>June</w:t>
      </w:r>
      <w:r w:rsidR="00A47644">
        <w:rPr>
          <w:rFonts w:ascii="Garamond" w:hAnsi="Garamond" w:cs="Times New Roman"/>
          <w:sz w:val="24"/>
          <w:szCs w:val="24"/>
        </w:rPr>
        <w:t xml:space="preserve"> </w:t>
      </w:r>
      <w:r w:rsidR="00815046">
        <w:rPr>
          <w:rFonts w:ascii="Garamond" w:hAnsi="Garamond" w:cs="Times New Roman"/>
          <w:sz w:val="24"/>
          <w:szCs w:val="24"/>
        </w:rPr>
        <w:t>25</w:t>
      </w:r>
      <w:r w:rsidR="00A47644">
        <w:rPr>
          <w:rFonts w:ascii="Garamond" w:hAnsi="Garamond" w:cs="Times New Roman"/>
          <w:sz w:val="24"/>
          <w:szCs w:val="24"/>
        </w:rPr>
        <w:t>, 2024</w:t>
      </w:r>
    </w:p>
    <w:p w14:paraId="373D3601" w14:textId="77777777" w:rsidR="007B4258" w:rsidRPr="00282C3B" w:rsidRDefault="007B4258" w:rsidP="007B4258">
      <w:pPr>
        <w:pStyle w:val="NoSpacing"/>
        <w:ind w:left="-144" w:right="-144"/>
        <w:rPr>
          <w:rFonts w:ascii="Garamond" w:hAnsi="Garamond" w:cs="Times New Roman"/>
          <w:sz w:val="24"/>
          <w:szCs w:val="24"/>
        </w:rPr>
      </w:pPr>
    </w:p>
    <w:p w14:paraId="33E98306" w14:textId="7588B7B5" w:rsidR="007B4258" w:rsidRDefault="007B4258" w:rsidP="007B4258">
      <w:pPr>
        <w:pStyle w:val="NoSpacing"/>
        <w:ind w:left="-144" w:right="-144"/>
        <w:jc w:val="both"/>
        <w:rPr>
          <w:rFonts w:ascii="Garamond" w:hAnsi="Garamond" w:cs="Times New Roman"/>
          <w:b/>
          <w:bCs/>
          <w:sz w:val="24"/>
          <w:szCs w:val="24"/>
        </w:rPr>
      </w:pPr>
      <w:r w:rsidRPr="00282C3B">
        <w:rPr>
          <w:rFonts w:ascii="Garamond" w:hAnsi="Garamond" w:cs="Times New Roman"/>
          <w:b/>
          <w:bCs/>
          <w:sz w:val="24"/>
          <w:szCs w:val="24"/>
        </w:rPr>
        <w:t xml:space="preserve">Re: </w:t>
      </w:r>
      <w:r w:rsidR="00F95273">
        <w:rPr>
          <w:rFonts w:ascii="Garamond" w:hAnsi="Garamond" w:cs="Times New Roman"/>
          <w:b/>
          <w:bCs/>
          <w:sz w:val="24"/>
          <w:szCs w:val="24"/>
        </w:rPr>
        <w:t>U.S. Food and Drug Administration Traceability Rule to Promote Food Safety by Facilitating Faster and More Effective Recalls and Foodborne Illness Outbreak Investigations</w:t>
      </w:r>
    </w:p>
    <w:p w14:paraId="1581FD11" w14:textId="77777777" w:rsidR="00F95273" w:rsidRPr="00282C3B" w:rsidRDefault="00F95273" w:rsidP="007B4258">
      <w:pPr>
        <w:pStyle w:val="NoSpacing"/>
        <w:ind w:left="-144" w:right="-144"/>
        <w:jc w:val="both"/>
        <w:rPr>
          <w:rFonts w:ascii="Garamond" w:hAnsi="Garamond" w:cs="Times New Roman"/>
          <w:sz w:val="24"/>
          <w:szCs w:val="24"/>
        </w:rPr>
      </w:pPr>
    </w:p>
    <w:p w14:paraId="606DDACC" w14:textId="77777777" w:rsidR="00D56D06" w:rsidRDefault="007B4258" w:rsidP="00D56D06">
      <w:pPr>
        <w:pStyle w:val="NoSpacing"/>
        <w:ind w:left="-144" w:right="-144"/>
        <w:jc w:val="both"/>
        <w:rPr>
          <w:rFonts w:ascii="Garamond" w:hAnsi="Garamond" w:cs="Times New Roman"/>
          <w:sz w:val="24"/>
          <w:szCs w:val="24"/>
        </w:rPr>
      </w:pPr>
      <w:r w:rsidRPr="00282C3B">
        <w:rPr>
          <w:rFonts w:ascii="Garamond" w:hAnsi="Garamond" w:cs="Times New Roman"/>
          <w:sz w:val="24"/>
          <w:szCs w:val="24"/>
        </w:rPr>
        <w:t xml:space="preserve">Dear Speaker </w:t>
      </w:r>
      <w:r>
        <w:rPr>
          <w:rFonts w:ascii="Garamond" w:hAnsi="Garamond" w:cs="Times New Roman"/>
          <w:sz w:val="24"/>
          <w:szCs w:val="24"/>
        </w:rPr>
        <w:t>Johnson</w:t>
      </w:r>
      <w:r w:rsidRPr="00282C3B">
        <w:rPr>
          <w:rFonts w:ascii="Garamond" w:hAnsi="Garamond" w:cs="Times New Roman"/>
          <w:sz w:val="24"/>
          <w:szCs w:val="24"/>
        </w:rPr>
        <w:t xml:space="preserve">, Majority Leader Schumer, Minority Leader </w:t>
      </w:r>
      <w:r>
        <w:rPr>
          <w:rFonts w:ascii="Garamond" w:hAnsi="Garamond" w:cs="Times New Roman"/>
          <w:sz w:val="24"/>
          <w:szCs w:val="24"/>
        </w:rPr>
        <w:t>Jeffries</w:t>
      </w:r>
      <w:r w:rsidRPr="00282C3B">
        <w:rPr>
          <w:rFonts w:ascii="Garamond" w:hAnsi="Garamond" w:cs="Times New Roman"/>
          <w:sz w:val="24"/>
          <w:szCs w:val="24"/>
        </w:rPr>
        <w:t xml:space="preserve"> and Minority Leader McConnell:</w:t>
      </w:r>
    </w:p>
    <w:p w14:paraId="62AC3DB5" w14:textId="77777777" w:rsidR="00D56D06" w:rsidRDefault="00D56D06" w:rsidP="00D56D06">
      <w:pPr>
        <w:pStyle w:val="NoSpacing"/>
        <w:ind w:left="-144" w:right="-144"/>
        <w:jc w:val="both"/>
        <w:rPr>
          <w:rFonts w:ascii="Garamond" w:hAnsi="Garamond" w:cs="Times New Roman"/>
          <w:sz w:val="24"/>
          <w:szCs w:val="24"/>
        </w:rPr>
      </w:pPr>
    </w:p>
    <w:p w14:paraId="1D199C5E" w14:textId="77777777" w:rsidR="00D56D06" w:rsidRDefault="7182B2CB" w:rsidP="00D56D06">
      <w:pPr>
        <w:pStyle w:val="NoSpacing"/>
        <w:ind w:left="-144" w:right="-144" w:firstLine="864"/>
        <w:jc w:val="both"/>
        <w:rPr>
          <w:rFonts w:ascii="Garamond" w:eastAsia="Garamond" w:hAnsi="Garamond" w:cs="Garamond"/>
          <w:sz w:val="24"/>
          <w:szCs w:val="24"/>
        </w:rPr>
      </w:pPr>
      <w:r w:rsidRPr="7BE5C404">
        <w:rPr>
          <w:rFonts w:ascii="Garamond" w:eastAsia="Garamond" w:hAnsi="Garamond" w:cs="Garamond"/>
          <w:sz w:val="24"/>
          <w:szCs w:val="24"/>
        </w:rPr>
        <w:t xml:space="preserve">The undersigned members of the Safe Food Coalition urge you to vote against legislation that would </w:t>
      </w:r>
      <w:r w:rsidR="2375742A" w:rsidRPr="7BE5C404">
        <w:rPr>
          <w:rFonts w:ascii="Garamond" w:eastAsia="Garamond" w:hAnsi="Garamond" w:cs="Garamond"/>
          <w:sz w:val="24"/>
          <w:szCs w:val="24"/>
        </w:rPr>
        <w:t>delay implementation of FDA’s final rule on Requirements for Additional Traceability Records for Certain Foods (Food Traceability Final Rule)</w:t>
      </w:r>
      <w:r w:rsidR="38707C44" w:rsidRPr="7BE5C404">
        <w:rPr>
          <w:rFonts w:ascii="Garamond" w:eastAsia="Garamond" w:hAnsi="Garamond" w:cs="Garamond"/>
          <w:sz w:val="24"/>
          <w:szCs w:val="24"/>
        </w:rPr>
        <w:t>. This final rule is</w:t>
      </w:r>
      <w:r w:rsidR="00787B75">
        <w:rPr>
          <w:rFonts w:ascii="Garamond" w:eastAsia="Garamond" w:hAnsi="Garamond" w:cs="Garamond"/>
          <w:sz w:val="24"/>
          <w:szCs w:val="24"/>
        </w:rPr>
        <w:t xml:space="preserve"> </w:t>
      </w:r>
      <w:r w:rsidR="2375742A" w:rsidRPr="7BE5C404">
        <w:rPr>
          <w:rFonts w:ascii="Garamond" w:eastAsia="Garamond" w:hAnsi="Garamond" w:cs="Garamond"/>
          <w:sz w:val="24"/>
          <w:szCs w:val="24"/>
        </w:rPr>
        <w:t>currently scheduled to go into effect January 20, 2026. This compliance date gives industry ample time to prepare and represents an already long overdue enactment of the Food Safety Modernization Act (FSMA)</w:t>
      </w:r>
      <w:r w:rsidR="2B0A5BCF" w:rsidRPr="7BE5C404">
        <w:rPr>
          <w:rFonts w:ascii="Garamond" w:eastAsia="Garamond" w:hAnsi="Garamond" w:cs="Garamond"/>
          <w:sz w:val="24"/>
          <w:szCs w:val="24"/>
        </w:rPr>
        <w:t xml:space="preserve">. FSMA passed with broad bipartisan Congressional support </w:t>
      </w:r>
      <w:r w:rsidR="2375742A" w:rsidRPr="7BE5C404">
        <w:rPr>
          <w:rFonts w:ascii="Garamond" w:eastAsia="Garamond" w:hAnsi="Garamond" w:cs="Garamond"/>
          <w:sz w:val="24"/>
          <w:szCs w:val="24"/>
        </w:rPr>
        <w:t xml:space="preserve">nearly a decade and a half ago, in 2010. </w:t>
      </w:r>
    </w:p>
    <w:p w14:paraId="1378E73D" w14:textId="77777777" w:rsidR="00D56D06" w:rsidRDefault="00D56D06" w:rsidP="00D56D06">
      <w:pPr>
        <w:pStyle w:val="NoSpacing"/>
        <w:ind w:left="-144" w:right="-144"/>
        <w:jc w:val="both"/>
        <w:rPr>
          <w:rFonts w:ascii="Garamond" w:eastAsia="Garamond" w:hAnsi="Garamond" w:cs="Garamond"/>
          <w:sz w:val="24"/>
          <w:szCs w:val="24"/>
        </w:rPr>
      </w:pPr>
    </w:p>
    <w:p w14:paraId="3D731783" w14:textId="77777777" w:rsidR="00D56D06" w:rsidRDefault="2375742A" w:rsidP="00D56D06">
      <w:pPr>
        <w:pStyle w:val="NoSpacing"/>
        <w:ind w:left="-144" w:right="-144" w:firstLine="864"/>
        <w:jc w:val="both"/>
        <w:rPr>
          <w:rFonts w:ascii="Garamond" w:eastAsia="Garamond" w:hAnsi="Garamond" w:cs="Garamond"/>
          <w:sz w:val="24"/>
          <w:szCs w:val="24"/>
        </w:rPr>
      </w:pPr>
      <w:r w:rsidRPr="75FADF1D">
        <w:rPr>
          <w:rFonts w:ascii="Garamond" w:eastAsia="Garamond" w:hAnsi="Garamond" w:cs="Garamond"/>
          <w:sz w:val="24"/>
          <w:szCs w:val="24"/>
        </w:rPr>
        <w:t xml:space="preserve">FSMA directed FDA to propose recordkeeping requirements for certain “high risk” foods no later than January 2013. When FDA failed to propose those requirements, Safe Food Coalition member Center for Food Safety sued the agency, leading to a federal court order mandating that the agency </w:t>
      </w:r>
      <w:r w:rsidRPr="75FADF1D">
        <w:rPr>
          <w:rFonts w:ascii="Garamond" w:eastAsia="Garamond" w:hAnsi="Garamond" w:cs="Garamond"/>
          <w:sz w:val="24"/>
          <w:szCs w:val="24"/>
        </w:rPr>
        <w:lastRenderedPageBreak/>
        <w:t>propose requirements by September 2020, and finalize the rulemaking process by November 2022.</w:t>
      </w:r>
      <w:r w:rsidR="006148E3">
        <w:rPr>
          <w:rStyle w:val="FootnoteReference"/>
          <w:rFonts w:ascii="Garamond" w:hAnsi="Garamond"/>
          <w:sz w:val="24"/>
          <w:szCs w:val="24"/>
        </w:rPr>
        <w:footnoteReference w:id="1"/>
      </w:r>
      <w:r w:rsidR="006148E3">
        <w:rPr>
          <w:rFonts w:ascii="Garamond" w:hAnsi="Garamond"/>
          <w:sz w:val="24"/>
          <w:szCs w:val="24"/>
        </w:rPr>
        <w:t xml:space="preserve"> T</w:t>
      </w:r>
      <w:r w:rsidRPr="75FADF1D">
        <w:rPr>
          <w:rFonts w:ascii="Garamond" w:eastAsia="Garamond" w:hAnsi="Garamond" w:cs="Garamond"/>
          <w:sz w:val="24"/>
          <w:szCs w:val="24"/>
        </w:rPr>
        <w:t>he agency complied with that order, announcing a final rule that requires food manufacturers, processors, packers and retailers to maintain records containing certain “Key Data Elements,” including lot codes, associated with specified “Critical Tracking Events” for designated foods. Parties subject to the rule must be able to report the required information to FDA within 24 hours, thereby facilitating more effective foodborne illness outbreak investigations.</w:t>
      </w:r>
      <w:r w:rsidR="006148E3">
        <w:rPr>
          <w:rStyle w:val="FootnoteReference"/>
          <w:rFonts w:ascii="Garamond" w:hAnsi="Garamond"/>
          <w:sz w:val="24"/>
          <w:szCs w:val="24"/>
        </w:rPr>
        <w:footnoteReference w:id="2"/>
      </w:r>
    </w:p>
    <w:p w14:paraId="26874286" w14:textId="77777777" w:rsidR="00D56D06" w:rsidRDefault="00D56D06" w:rsidP="00D56D06">
      <w:pPr>
        <w:pStyle w:val="NoSpacing"/>
        <w:ind w:left="-144" w:right="-144" w:firstLine="864"/>
        <w:jc w:val="both"/>
        <w:rPr>
          <w:rFonts w:ascii="Garamond" w:eastAsia="Garamond" w:hAnsi="Garamond" w:cs="Garamond"/>
          <w:sz w:val="24"/>
          <w:szCs w:val="24"/>
        </w:rPr>
      </w:pPr>
    </w:p>
    <w:p w14:paraId="5C7A8D76" w14:textId="77777777" w:rsidR="00D56D06" w:rsidRDefault="2375742A" w:rsidP="00D56D06">
      <w:pPr>
        <w:pStyle w:val="NoSpacing"/>
        <w:ind w:left="-144" w:right="-144" w:firstLine="864"/>
        <w:jc w:val="both"/>
        <w:rPr>
          <w:rFonts w:ascii="Garamond" w:hAnsi="Garamond"/>
          <w:sz w:val="24"/>
          <w:szCs w:val="24"/>
        </w:rPr>
      </w:pPr>
      <w:r w:rsidRPr="75FADF1D">
        <w:rPr>
          <w:rFonts w:ascii="Garamond" w:eastAsia="Garamond" w:hAnsi="Garamond" w:cs="Garamond"/>
          <w:sz w:val="24"/>
          <w:szCs w:val="24"/>
        </w:rPr>
        <w:t xml:space="preserve">The rule aligns with the best practices </w:t>
      </w:r>
      <w:r w:rsidR="6AC275D3" w:rsidRPr="75FADF1D">
        <w:rPr>
          <w:rFonts w:ascii="Garamond" w:eastAsia="Garamond" w:hAnsi="Garamond" w:cs="Garamond"/>
          <w:sz w:val="24"/>
          <w:szCs w:val="24"/>
        </w:rPr>
        <w:t>followed by</w:t>
      </w:r>
      <w:r w:rsidRPr="75FADF1D">
        <w:rPr>
          <w:rFonts w:ascii="Garamond" w:eastAsia="Garamond" w:hAnsi="Garamond" w:cs="Garamond"/>
          <w:sz w:val="24"/>
          <w:szCs w:val="24"/>
        </w:rPr>
        <w:t xml:space="preserve"> members of industry. Already, as the compliance date approaches, companies have made sign</w:t>
      </w:r>
      <w:r w:rsidRPr="00AB3C9D">
        <w:rPr>
          <w:rFonts w:ascii="Garamond" w:hAnsi="Garamond"/>
          <w:sz w:val="24"/>
          <w:szCs w:val="24"/>
        </w:rPr>
        <w:t xml:space="preserve">ificant progress </w:t>
      </w:r>
      <w:r>
        <w:rPr>
          <w:rFonts w:ascii="Garamond" w:hAnsi="Garamond"/>
          <w:sz w:val="24"/>
          <w:szCs w:val="24"/>
        </w:rPr>
        <w:t>in</w:t>
      </w:r>
      <w:r w:rsidRPr="00AB3C9D">
        <w:rPr>
          <w:rFonts w:ascii="Garamond" w:hAnsi="Garamond"/>
          <w:sz w:val="24"/>
          <w:szCs w:val="24"/>
        </w:rPr>
        <w:t xml:space="preserve"> track</w:t>
      </w:r>
      <w:r>
        <w:rPr>
          <w:rFonts w:ascii="Garamond" w:hAnsi="Garamond"/>
          <w:sz w:val="24"/>
          <w:szCs w:val="24"/>
        </w:rPr>
        <w:t>ing</w:t>
      </w:r>
      <w:r w:rsidRPr="00AB3C9D">
        <w:rPr>
          <w:rFonts w:ascii="Garamond" w:hAnsi="Garamond"/>
          <w:sz w:val="24"/>
          <w:szCs w:val="24"/>
        </w:rPr>
        <w:t xml:space="preserve"> and record</w:t>
      </w:r>
      <w:r>
        <w:rPr>
          <w:rFonts w:ascii="Garamond" w:hAnsi="Garamond"/>
          <w:sz w:val="24"/>
          <w:szCs w:val="24"/>
        </w:rPr>
        <w:t>ing</w:t>
      </w:r>
      <w:r w:rsidRPr="00AB3C9D">
        <w:rPr>
          <w:rFonts w:ascii="Garamond" w:hAnsi="Garamond"/>
          <w:sz w:val="24"/>
          <w:szCs w:val="24"/>
        </w:rPr>
        <w:t xml:space="preserve"> data for food traceability purposes</w:t>
      </w:r>
      <w:r>
        <w:rPr>
          <w:rFonts w:ascii="Garamond" w:hAnsi="Garamond"/>
          <w:sz w:val="24"/>
          <w:szCs w:val="24"/>
        </w:rPr>
        <w:t xml:space="preserve">, improving on </w:t>
      </w:r>
      <w:r w:rsidRPr="00AB3C9D">
        <w:rPr>
          <w:rFonts w:ascii="Garamond" w:hAnsi="Garamond"/>
          <w:sz w:val="24"/>
          <w:szCs w:val="24"/>
        </w:rPr>
        <w:t xml:space="preserve">the current system that limits traceability capabilities </w:t>
      </w:r>
      <w:r>
        <w:rPr>
          <w:rFonts w:ascii="Garamond" w:hAnsi="Garamond"/>
          <w:sz w:val="24"/>
          <w:szCs w:val="24"/>
        </w:rPr>
        <w:t>to</w:t>
      </w:r>
      <w:r w:rsidRPr="00AB3C9D">
        <w:rPr>
          <w:rFonts w:ascii="Garamond" w:hAnsi="Garamond"/>
          <w:sz w:val="24"/>
          <w:szCs w:val="24"/>
        </w:rPr>
        <w:t xml:space="preserve"> “one s</w:t>
      </w:r>
      <w:r>
        <w:rPr>
          <w:rFonts w:ascii="Garamond" w:hAnsi="Garamond"/>
          <w:sz w:val="24"/>
          <w:szCs w:val="24"/>
        </w:rPr>
        <w:t>t</w:t>
      </w:r>
      <w:r w:rsidRPr="00AB3C9D">
        <w:rPr>
          <w:rFonts w:ascii="Garamond" w:hAnsi="Garamond"/>
          <w:sz w:val="24"/>
          <w:szCs w:val="24"/>
        </w:rPr>
        <w:t>ep forward and one step back</w:t>
      </w:r>
      <w:r>
        <w:rPr>
          <w:rFonts w:ascii="Garamond" w:hAnsi="Garamond"/>
          <w:sz w:val="24"/>
          <w:szCs w:val="24"/>
        </w:rPr>
        <w:t>,</w:t>
      </w:r>
      <w:r w:rsidRPr="00AB3C9D">
        <w:rPr>
          <w:rFonts w:ascii="Garamond" w:hAnsi="Garamond"/>
          <w:sz w:val="24"/>
          <w:szCs w:val="24"/>
        </w:rPr>
        <w:t>”</w:t>
      </w:r>
      <w:r>
        <w:rPr>
          <w:rFonts w:ascii="Garamond" w:hAnsi="Garamond"/>
          <w:sz w:val="24"/>
          <w:szCs w:val="24"/>
        </w:rPr>
        <w:t xml:space="preserve"> with little</w:t>
      </w:r>
      <w:r w:rsidRPr="00AB3C9D">
        <w:rPr>
          <w:rFonts w:ascii="Garamond" w:hAnsi="Garamond"/>
          <w:sz w:val="24"/>
          <w:szCs w:val="24"/>
        </w:rPr>
        <w:t xml:space="preserve"> specificity.</w:t>
      </w:r>
      <w:r>
        <w:rPr>
          <w:rFonts w:ascii="Garamond" w:hAnsi="Garamond"/>
          <w:sz w:val="24"/>
          <w:szCs w:val="24"/>
        </w:rPr>
        <w:t xml:space="preserve"> Larger food retailers have indicated that they expect suppliers to comply with the rule well ahead of FDA’s compliance date. For example, Kroger has announced that it will require </w:t>
      </w:r>
      <w:r w:rsidR="5366CCCF" w:rsidRPr="7BE5C404">
        <w:rPr>
          <w:rFonts w:ascii="Garamond" w:hAnsi="Garamond"/>
          <w:sz w:val="24"/>
          <w:szCs w:val="24"/>
        </w:rPr>
        <w:t>all</w:t>
      </w:r>
      <w:r>
        <w:rPr>
          <w:rFonts w:ascii="Garamond" w:hAnsi="Garamond"/>
          <w:sz w:val="24"/>
          <w:szCs w:val="24"/>
        </w:rPr>
        <w:t xml:space="preserve"> its food suppliers—not just those supplying the “high risk” foods on FDA’s Food Traceability List—to adopt new traceability protocols by </w:t>
      </w:r>
      <w:r w:rsidRPr="00CE0285">
        <w:rPr>
          <w:rFonts w:ascii="Garamond" w:hAnsi="Garamond"/>
          <w:sz w:val="24"/>
          <w:szCs w:val="24"/>
        </w:rPr>
        <w:t>June 30, 2025</w:t>
      </w:r>
      <w:r>
        <w:rPr>
          <w:rFonts w:ascii="Garamond" w:hAnsi="Garamond"/>
          <w:sz w:val="24"/>
          <w:szCs w:val="24"/>
        </w:rPr>
        <w:t>, six months prior to FDA’s compliance deadline.</w:t>
      </w:r>
      <w:r w:rsidR="00477306">
        <w:rPr>
          <w:rStyle w:val="FootnoteReference"/>
          <w:rFonts w:ascii="Garamond" w:hAnsi="Garamond"/>
          <w:sz w:val="24"/>
          <w:szCs w:val="24"/>
        </w:rPr>
        <w:footnoteReference w:id="3"/>
      </w:r>
    </w:p>
    <w:p w14:paraId="4A1C87C2" w14:textId="77777777" w:rsidR="00D56D06" w:rsidRDefault="00D56D06" w:rsidP="00D56D06">
      <w:pPr>
        <w:pStyle w:val="NoSpacing"/>
        <w:ind w:left="-144" w:right="-144" w:firstLine="864"/>
        <w:jc w:val="both"/>
        <w:rPr>
          <w:rFonts w:ascii="Garamond" w:hAnsi="Garamond"/>
          <w:sz w:val="24"/>
          <w:szCs w:val="24"/>
        </w:rPr>
      </w:pPr>
    </w:p>
    <w:p w14:paraId="7CF5CFFD" w14:textId="77777777" w:rsidR="00D56D06" w:rsidRDefault="2375742A" w:rsidP="00D56D06">
      <w:pPr>
        <w:pStyle w:val="NoSpacing"/>
        <w:ind w:left="-144" w:right="-144" w:firstLine="864"/>
        <w:jc w:val="both"/>
        <w:rPr>
          <w:rFonts w:ascii="Garamond" w:hAnsi="Garamond"/>
          <w:sz w:val="24"/>
          <w:szCs w:val="24"/>
        </w:rPr>
      </w:pPr>
      <w:r>
        <w:rPr>
          <w:rFonts w:ascii="Garamond" w:hAnsi="Garamond"/>
          <w:sz w:val="24"/>
          <w:szCs w:val="24"/>
        </w:rPr>
        <w:t xml:space="preserve">Some of the regulated industry, however, </w:t>
      </w:r>
      <w:r w:rsidR="549602B4" w:rsidRPr="7BE5C404">
        <w:rPr>
          <w:rFonts w:ascii="Garamond" w:hAnsi="Garamond"/>
          <w:sz w:val="24"/>
          <w:szCs w:val="24"/>
        </w:rPr>
        <w:t>seek</w:t>
      </w:r>
      <w:r w:rsidR="6FDCF949" w:rsidRPr="7BE5C404">
        <w:rPr>
          <w:rFonts w:ascii="Garamond" w:hAnsi="Garamond"/>
          <w:sz w:val="24"/>
          <w:szCs w:val="24"/>
        </w:rPr>
        <w:t>s</w:t>
      </w:r>
      <w:r>
        <w:rPr>
          <w:rFonts w:ascii="Garamond" w:hAnsi="Garamond"/>
          <w:sz w:val="24"/>
          <w:szCs w:val="24"/>
        </w:rPr>
        <w:t xml:space="preserve"> to undermine FDA’s traceability rule by exempting lot code information. A group representing large food retailers</w:t>
      </w:r>
      <w:r w:rsidR="12E68C46" w:rsidRPr="7BE5C404">
        <w:rPr>
          <w:rFonts w:ascii="Garamond" w:hAnsi="Garamond"/>
          <w:sz w:val="24"/>
          <w:szCs w:val="24"/>
        </w:rPr>
        <w:t xml:space="preserve">— </w:t>
      </w:r>
      <w:r>
        <w:rPr>
          <w:rFonts w:ascii="Garamond" w:hAnsi="Garamond"/>
          <w:sz w:val="24"/>
          <w:szCs w:val="24"/>
        </w:rPr>
        <w:t xml:space="preserve">FMI, the Food Industry Association—has pushed for legislation in the House titled the </w:t>
      </w:r>
      <w:r w:rsidRPr="7BE5C404">
        <w:rPr>
          <w:rFonts w:ascii="Garamond" w:hAnsi="Garamond"/>
          <w:i/>
          <w:iCs/>
          <w:sz w:val="24"/>
          <w:szCs w:val="24"/>
        </w:rPr>
        <w:t>Food Traceability Enhancement Act</w:t>
      </w:r>
      <w:r>
        <w:rPr>
          <w:rFonts w:ascii="Garamond" w:hAnsi="Garamond"/>
          <w:sz w:val="24"/>
          <w:szCs w:val="24"/>
        </w:rPr>
        <w:t xml:space="preserve"> (H.R. 7563).</w:t>
      </w:r>
      <w:r w:rsidR="00477306">
        <w:rPr>
          <w:rStyle w:val="FootnoteReference"/>
          <w:rFonts w:ascii="Garamond" w:hAnsi="Garamond"/>
          <w:sz w:val="24"/>
          <w:szCs w:val="24"/>
        </w:rPr>
        <w:footnoteReference w:id="4"/>
      </w:r>
      <w:r>
        <w:rPr>
          <w:rFonts w:ascii="Garamond" w:hAnsi="Garamond"/>
          <w:sz w:val="24"/>
          <w:szCs w:val="24"/>
        </w:rPr>
        <w:t xml:space="preserve"> This title is misleading. The </w:t>
      </w:r>
      <w:r w:rsidRPr="7BE5C404">
        <w:rPr>
          <w:rFonts w:ascii="Garamond" w:hAnsi="Garamond"/>
          <w:i/>
          <w:iCs/>
          <w:sz w:val="24"/>
          <w:szCs w:val="24"/>
        </w:rPr>
        <w:t>Food Traceability Evisceration Act</w:t>
      </w:r>
      <w:r>
        <w:rPr>
          <w:rFonts w:ascii="Garamond" w:hAnsi="Garamond"/>
          <w:sz w:val="24"/>
          <w:szCs w:val="24"/>
        </w:rPr>
        <w:t xml:space="preserve"> more accurately describes the legislation, which would effectively gut FDA’s rule by allowing retailers to discard critical lot code information that has been carefully developed and maintained by suppliers subject to the rule. </w:t>
      </w:r>
      <w:r w:rsidR="4277322B">
        <w:rPr>
          <w:rFonts w:ascii="Garamond" w:hAnsi="Garamond"/>
          <w:sz w:val="24"/>
          <w:szCs w:val="24"/>
        </w:rPr>
        <w:t xml:space="preserve">FMI argues that the rule will be costly and is not needed, but many suppliers have already adopted traceability requirements, and </w:t>
      </w:r>
      <w:r w:rsidR="52276634">
        <w:rPr>
          <w:rFonts w:ascii="Garamond" w:hAnsi="Garamond"/>
          <w:sz w:val="24"/>
          <w:szCs w:val="24"/>
        </w:rPr>
        <w:t>as noted above, leading retailers are already moving to comply.</w:t>
      </w:r>
      <w:r w:rsidR="4277322B">
        <w:rPr>
          <w:rFonts w:ascii="Garamond" w:hAnsi="Garamond"/>
          <w:sz w:val="24"/>
          <w:szCs w:val="24"/>
        </w:rPr>
        <w:t xml:space="preserve"> </w:t>
      </w:r>
      <w:r w:rsidR="3069A00F">
        <w:rPr>
          <w:rFonts w:ascii="Garamond" w:hAnsi="Garamond"/>
          <w:sz w:val="24"/>
          <w:szCs w:val="24"/>
        </w:rPr>
        <w:t xml:space="preserve">Moreover, </w:t>
      </w:r>
      <w:r>
        <w:rPr>
          <w:rFonts w:ascii="Garamond" w:hAnsi="Garamond"/>
          <w:sz w:val="24"/>
          <w:szCs w:val="24"/>
        </w:rPr>
        <w:t>lot codes lie at the core of FDA’s ability to trace and solve outbreaks, and exempting retailers—the final link in the supply chain—from maintaining such information will effectively lay waste to efforts by FDA, produce growers, and other producers and manufacturers of foods covered by the rule.</w:t>
      </w:r>
      <w:r w:rsidR="5AD363FB">
        <w:rPr>
          <w:rFonts w:ascii="Garamond" w:hAnsi="Garamond"/>
          <w:sz w:val="24"/>
          <w:szCs w:val="24"/>
        </w:rPr>
        <w:t xml:space="preserve"> </w:t>
      </w:r>
      <w:r w:rsidR="56105940">
        <w:rPr>
          <w:rFonts w:ascii="Garamond" w:hAnsi="Garamond"/>
          <w:sz w:val="24"/>
          <w:szCs w:val="24"/>
        </w:rPr>
        <w:t>Removing retailers from this core requirement sets</w:t>
      </w:r>
      <w:r w:rsidR="5AD363FB">
        <w:rPr>
          <w:rFonts w:ascii="Garamond" w:hAnsi="Garamond"/>
          <w:sz w:val="24"/>
          <w:szCs w:val="24"/>
        </w:rPr>
        <w:t xml:space="preserve"> FDA back to square one in solving outbreaks</w:t>
      </w:r>
      <w:r w:rsidR="00957828">
        <w:rPr>
          <w:rFonts w:ascii="Garamond" w:hAnsi="Garamond"/>
          <w:sz w:val="24"/>
          <w:szCs w:val="24"/>
        </w:rPr>
        <w:t>—f</w:t>
      </w:r>
      <w:r w:rsidR="5AD363FB">
        <w:rPr>
          <w:rFonts w:ascii="Garamond" w:hAnsi="Garamond"/>
          <w:sz w:val="24"/>
          <w:szCs w:val="24"/>
        </w:rPr>
        <w:t xml:space="preserve">orcing the agency to muddle through confusing and inconsistent records that </w:t>
      </w:r>
      <w:r w:rsidR="378B2B9B">
        <w:rPr>
          <w:rFonts w:ascii="Garamond" w:hAnsi="Garamond"/>
          <w:sz w:val="24"/>
          <w:szCs w:val="24"/>
        </w:rPr>
        <w:t>have hampered the agency</w:t>
      </w:r>
      <w:r w:rsidR="00957828">
        <w:rPr>
          <w:rFonts w:ascii="Garamond" w:hAnsi="Garamond"/>
          <w:sz w:val="24"/>
          <w:szCs w:val="24"/>
        </w:rPr>
        <w:t>’s investigations up to now.</w:t>
      </w:r>
    </w:p>
    <w:p w14:paraId="13A8AD14" w14:textId="77777777" w:rsidR="00D56D06" w:rsidRDefault="00D56D06" w:rsidP="00D56D06">
      <w:pPr>
        <w:pStyle w:val="NoSpacing"/>
        <w:ind w:left="-144" w:right="-144" w:firstLine="864"/>
        <w:jc w:val="both"/>
        <w:rPr>
          <w:rFonts w:ascii="Garamond" w:hAnsi="Garamond"/>
          <w:sz w:val="24"/>
          <w:szCs w:val="24"/>
        </w:rPr>
      </w:pPr>
    </w:p>
    <w:p w14:paraId="367213FB" w14:textId="77777777" w:rsidR="00D56D06" w:rsidRDefault="00F95273" w:rsidP="00D56D06">
      <w:pPr>
        <w:pStyle w:val="NoSpacing"/>
        <w:ind w:left="-144" w:right="-144" w:firstLine="864"/>
        <w:jc w:val="both"/>
        <w:rPr>
          <w:rFonts w:ascii="Garamond" w:hAnsi="Garamond"/>
          <w:sz w:val="24"/>
          <w:szCs w:val="24"/>
        </w:rPr>
      </w:pPr>
      <w:r>
        <w:rPr>
          <w:rFonts w:ascii="Garamond" w:hAnsi="Garamond"/>
          <w:sz w:val="24"/>
          <w:szCs w:val="24"/>
        </w:rPr>
        <w:t>Lot codes—required under the final rule to</w:t>
      </w:r>
      <w:r w:rsidRPr="00AB3C9D">
        <w:rPr>
          <w:rFonts w:ascii="Garamond" w:hAnsi="Garamond"/>
          <w:sz w:val="24"/>
          <w:szCs w:val="24"/>
        </w:rPr>
        <w:t xml:space="preserve"> be captured at point of service</w:t>
      </w:r>
      <w:r>
        <w:rPr>
          <w:rFonts w:ascii="Garamond" w:hAnsi="Garamond"/>
          <w:sz w:val="24"/>
          <w:szCs w:val="24"/>
        </w:rPr>
        <w:t>,</w:t>
      </w:r>
      <w:r w:rsidRPr="00AB3C9D">
        <w:rPr>
          <w:rFonts w:ascii="Garamond" w:hAnsi="Garamond"/>
          <w:sz w:val="24"/>
          <w:szCs w:val="24"/>
        </w:rPr>
        <w:t xml:space="preserve"> includ</w:t>
      </w:r>
      <w:r>
        <w:rPr>
          <w:rFonts w:ascii="Garamond" w:hAnsi="Garamond"/>
          <w:sz w:val="24"/>
          <w:szCs w:val="24"/>
        </w:rPr>
        <w:t>ing</w:t>
      </w:r>
      <w:r w:rsidRPr="00AB3C9D">
        <w:rPr>
          <w:rFonts w:ascii="Garamond" w:hAnsi="Garamond"/>
          <w:sz w:val="24"/>
          <w:szCs w:val="24"/>
        </w:rPr>
        <w:t xml:space="preserve"> retail</w:t>
      </w:r>
      <w:r>
        <w:rPr>
          <w:rFonts w:ascii="Garamond" w:hAnsi="Garamond"/>
          <w:sz w:val="24"/>
          <w:szCs w:val="24"/>
        </w:rPr>
        <w:t xml:space="preserve"> </w:t>
      </w:r>
      <w:r w:rsidRPr="00AB3C9D">
        <w:rPr>
          <w:rFonts w:ascii="Garamond" w:hAnsi="Garamond"/>
          <w:sz w:val="24"/>
          <w:szCs w:val="24"/>
        </w:rPr>
        <w:t>establishments and restaurants</w:t>
      </w:r>
      <w:r>
        <w:rPr>
          <w:rFonts w:ascii="Garamond" w:hAnsi="Garamond"/>
          <w:sz w:val="24"/>
          <w:szCs w:val="24"/>
        </w:rPr>
        <w:t>—are</w:t>
      </w:r>
      <w:r w:rsidRPr="00AB3C9D">
        <w:rPr>
          <w:rFonts w:ascii="Garamond" w:hAnsi="Garamond"/>
          <w:sz w:val="24"/>
          <w:szCs w:val="24"/>
        </w:rPr>
        <w:t xml:space="preserve"> critical to solving outbreaks. With more than half of all</w:t>
      </w:r>
      <w:r w:rsidR="00D56D06">
        <w:rPr>
          <w:rFonts w:ascii="Garamond" w:hAnsi="Garamond"/>
          <w:sz w:val="24"/>
          <w:szCs w:val="24"/>
        </w:rPr>
        <w:t xml:space="preserve"> </w:t>
      </w:r>
      <w:r w:rsidR="2375742A" w:rsidRPr="7BE5C404">
        <w:rPr>
          <w:rFonts w:ascii="Garamond" w:hAnsi="Garamond"/>
          <w:sz w:val="24"/>
          <w:szCs w:val="24"/>
        </w:rPr>
        <w:t xml:space="preserve">estimated foodborne illness outbreaks in the U.S. associated with food from restaurants, linking illnesses to the specific foods purchased at retail or consumed at restaurants is critical to conducting tracebacks with speed, accuracy, and specificity during outbreak investigations. Without lot codes, the outbreak investigation process would continue to falter, with consumers exposed to contaminated foods for too long. In addition, when outbreaks are unsolved, FDA must issue overly broad consumer advisories, such </w:t>
      </w:r>
      <w:r w:rsidR="2375742A" w:rsidRPr="7BE5C404">
        <w:rPr>
          <w:rFonts w:ascii="Garamond" w:hAnsi="Garamond"/>
          <w:sz w:val="24"/>
          <w:szCs w:val="24"/>
        </w:rPr>
        <w:lastRenderedPageBreak/>
        <w:t xml:space="preserve">as the advisory not to consume </w:t>
      </w:r>
      <w:r w:rsidR="2375742A" w:rsidRPr="7BE5C404">
        <w:rPr>
          <w:rFonts w:ascii="Garamond" w:hAnsi="Garamond"/>
          <w:i/>
          <w:iCs/>
          <w:sz w:val="24"/>
          <w:szCs w:val="24"/>
        </w:rPr>
        <w:t>any</w:t>
      </w:r>
      <w:r w:rsidR="2375742A" w:rsidRPr="7BE5C404">
        <w:rPr>
          <w:rFonts w:ascii="Garamond" w:hAnsi="Garamond"/>
          <w:sz w:val="24"/>
          <w:szCs w:val="24"/>
        </w:rPr>
        <w:t xml:space="preserve"> romaine lettuce following a deadly outbreak in 2018</w:t>
      </w:r>
      <w:r w:rsidR="38204308" w:rsidRPr="7BE5C404">
        <w:rPr>
          <w:rFonts w:ascii="Garamond" w:hAnsi="Garamond"/>
          <w:sz w:val="24"/>
          <w:szCs w:val="24"/>
        </w:rPr>
        <w:t>, instead of restricting its advisory to affected lots</w:t>
      </w:r>
      <w:r w:rsidR="2375742A" w:rsidRPr="7BE5C404">
        <w:rPr>
          <w:rFonts w:ascii="Garamond" w:hAnsi="Garamond"/>
          <w:sz w:val="24"/>
          <w:szCs w:val="24"/>
        </w:rPr>
        <w:t xml:space="preserve">. Such notices harm food producers whose products would otherwise remain unaffected, </w:t>
      </w:r>
      <w:r w:rsidR="1DD0F873" w:rsidRPr="7BE5C404">
        <w:rPr>
          <w:rFonts w:ascii="Garamond" w:hAnsi="Garamond"/>
          <w:sz w:val="24"/>
          <w:szCs w:val="24"/>
        </w:rPr>
        <w:t xml:space="preserve">create food waste, </w:t>
      </w:r>
      <w:r w:rsidR="2375742A" w:rsidRPr="7BE5C404">
        <w:rPr>
          <w:rFonts w:ascii="Garamond" w:hAnsi="Garamond"/>
          <w:sz w:val="24"/>
          <w:szCs w:val="24"/>
        </w:rPr>
        <w:t>and depress consumer confidence in otherwise healthy and nutritious foods.</w:t>
      </w:r>
      <w:r w:rsidR="2A233E50" w:rsidRPr="7BE5C404">
        <w:rPr>
          <w:rFonts w:ascii="Garamond" w:hAnsi="Garamond"/>
          <w:sz w:val="24"/>
          <w:szCs w:val="24"/>
        </w:rPr>
        <w:t xml:space="preserve"> </w:t>
      </w:r>
    </w:p>
    <w:p w14:paraId="1DF8659D" w14:textId="77777777" w:rsidR="00D56D06" w:rsidRDefault="00D56D06" w:rsidP="00D56D06">
      <w:pPr>
        <w:pStyle w:val="NoSpacing"/>
        <w:ind w:left="-144" w:right="-144" w:firstLine="864"/>
        <w:jc w:val="both"/>
        <w:rPr>
          <w:rFonts w:ascii="Garamond" w:hAnsi="Garamond"/>
          <w:sz w:val="24"/>
          <w:szCs w:val="24"/>
        </w:rPr>
      </w:pPr>
    </w:p>
    <w:p w14:paraId="13B5C871" w14:textId="77777777" w:rsidR="00D56D06" w:rsidRDefault="2375742A" w:rsidP="00D56D06">
      <w:pPr>
        <w:pStyle w:val="NoSpacing"/>
        <w:ind w:left="-144" w:right="-144" w:firstLine="864"/>
        <w:jc w:val="both"/>
        <w:rPr>
          <w:rFonts w:ascii="Garamond" w:hAnsi="Garamond"/>
          <w:sz w:val="24"/>
          <w:szCs w:val="24"/>
        </w:rPr>
      </w:pPr>
      <w:r>
        <w:rPr>
          <w:rFonts w:ascii="Garamond" w:hAnsi="Garamond"/>
          <w:sz w:val="24"/>
          <w:szCs w:val="24"/>
        </w:rPr>
        <w:t xml:space="preserve">Another effort to undermine FDA’s traceability rule has appeared as a poison pill rider in this year’s </w:t>
      </w:r>
      <w:r w:rsidR="1FC32575" w:rsidRPr="7BE5C404">
        <w:rPr>
          <w:rFonts w:ascii="Garamond" w:hAnsi="Garamond"/>
          <w:sz w:val="24"/>
          <w:szCs w:val="24"/>
        </w:rPr>
        <w:t xml:space="preserve">House Appropriations Committee </w:t>
      </w:r>
      <w:r w:rsidRPr="00944E64">
        <w:rPr>
          <w:rFonts w:ascii="Garamond" w:hAnsi="Garamond"/>
          <w:sz w:val="24"/>
          <w:szCs w:val="24"/>
        </w:rPr>
        <w:t xml:space="preserve">appropriations package. A provision in the </w:t>
      </w:r>
      <w:r>
        <w:rPr>
          <w:rFonts w:ascii="Garamond" w:hAnsi="Garamond"/>
          <w:sz w:val="24"/>
          <w:szCs w:val="24"/>
        </w:rPr>
        <w:t>Fiscal Year 2025 bill for the Agriculture, Rural Development, Food and Drug Administration, and Related Agencies Subcommittee, would put the FDA’s 2026 implementation date on hold by demanding that the agency conduct additional traceability pilots, including a pilot that will require the agency to “successfully” solve outbreaks without using</w:t>
      </w:r>
      <w:r w:rsidR="00477306">
        <w:rPr>
          <w:rFonts w:ascii="Garamond" w:hAnsi="Garamond"/>
          <w:sz w:val="24"/>
          <w:szCs w:val="24"/>
        </w:rPr>
        <w:t xml:space="preserve"> lot codes.</w:t>
      </w:r>
      <w:r w:rsidR="00477306">
        <w:rPr>
          <w:rStyle w:val="FootnoteReference"/>
          <w:rFonts w:ascii="Garamond" w:hAnsi="Garamond"/>
          <w:sz w:val="24"/>
          <w:szCs w:val="24"/>
        </w:rPr>
        <w:footnoteReference w:id="5"/>
      </w:r>
      <w:r>
        <w:rPr>
          <w:rFonts w:ascii="Garamond" w:hAnsi="Garamond"/>
          <w:sz w:val="24"/>
          <w:szCs w:val="24"/>
        </w:rPr>
        <w:t xml:space="preserve">  </w:t>
      </w:r>
      <w:r w:rsidR="00A0311B">
        <w:rPr>
          <w:rFonts w:ascii="Garamond" w:hAnsi="Garamond"/>
          <w:sz w:val="24"/>
          <w:szCs w:val="24"/>
        </w:rPr>
        <w:t>Notably, t</w:t>
      </w:r>
      <w:r w:rsidR="00A0311B" w:rsidRPr="7BE5C404">
        <w:rPr>
          <w:rFonts w:ascii="Garamond" w:hAnsi="Garamond"/>
          <w:sz w:val="24"/>
          <w:szCs w:val="24"/>
        </w:rPr>
        <w:t xml:space="preserve">he bill </w:t>
      </w:r>
      <w:r w:rsidR="00A0311B">
        <w:rPr>
          <w:rFonts w:ascii="Garamond" w:hAnsi="Garamond"/>
          <w:sz w:val="24"/>
          <w:szCs w:val="24"/>
        </w:rPr>
        <w:t xml:space="preserve">provides the FDA with no new funding for such pilots, and indeed, </w:t>
      </w:r>
      <w:r w:rsidR="00A0311B" w:rsidRPr="75FADF1D" w:rsidDel="2375742A">
        <w:rPr>
          <w:rFonts w:ascii="Garamond" w:hAnsi="Garamond"/>
          <w:sz w:val="24"/>
          <w:szCs w:val="24"/>
        </w:rPr>
        <w:t xml:space="preserve">effectively cuts </w:t>
      </w:r>
      <w:r w:rsidR="00A0311B">
        <w:rPr>
          <w:rFonts w:ascii="Garamond" w:hAnsi="Garamond"/>
          <w:sz w:val="24"/>
          <w:szCs w:val="24"/>
        </w:rPr>
        <w:t xml:space="preserve">agency resources by </w:t>
      </w:r>
      <w:r w:rsidR="00A0311B" w:rsidRPr="00A0311B">
        <w:rPr>
          <w:rFonts w:ascii="Garamond" w:hAnsi="Garamond"/>
          <w:sz w:val="24"/>
          <w:szCs w:val="24"/>
        </w:rPr>
        <w:t xml:space="preserve">flat-funding </w:t>
      </w:r>
      <w:r w:rsidR="00A0311B">
        <w:rPr>
          <w:rFonts w:ascii="Garamond" w:hAnsi="Garamond"/>
          <w:sz w:val="24"/>
          <w:szCs w:val="24"/>
        </w:rPr>
        <w:t xml:space="preserve">FDA </w:t>
      </w:r>
      <w:r w:rsidR="00A0311B" w:rsidRPr="00A0311B">
        <w:rPr>
          <w:rFonts w:ascii="Garamond" w:hAnsi="Garamond"/>
          <w:sz w:val="24"/>
          <w:szCs w:val="24"/>
        </w:rPr>
        <w:t xml:space="preserve">at FY24 levels, </w:t>
      </w:r>
      <w:r w:rsidR="00A0311B">
        <w:rPr>
          <w:rFonts w:ascii="Garamond" w:hAnsi="Garamond"/>
          <w:sz w:val="24"/>
          <w:szCs w:val="24"/>
        </w:rPr>
        <w:t xml:space="preserve">with no appropriations to increase staff salaries and address other rising costs. </w:t>
      </w:r>
      <w:r w:rsidR="00957828">
        <w:rPr>
          <w:rFonts w:ascii="Garamond" w:hAnsi="Garamond"/>
          <w:sz w:val="24"/>
          <w:szCs w:val="24"/>
        </w:rPr>
        <w:t xml:space="preserve">Like the </w:t>
      </w:r>
      <w:r w:rsidR="00957828" w:rsidRPr="7BE5C404">
        <w:rPr>
          <w:rFonts w:ascii="Garamond" w:hAnsi="Garamond"/>
          <w:i/>
          <w:iCs/>
          <w:sz w:val="24"/>
          <w:szCs w:val="24"/>
        </w:rPr>
        <w:t>Food Traceability Evisceration</w:t>
      </w:r>
      <w:r w:rsidR="00957828">
        <w:rPr>
          <w:rFonts w:ascii="Garamond" w:hAnsi="Garamond"/>
          <w:i/>
          <w:iCs/>
          <w:sz w:val="24"/>
          <w:szCs w:val="24"/>
        </w:rPr>
        <w:t xml:space="preserve"> Act, </w:t>
      </w:r>
      <w:r w:rsidR="00957828">
        <w:rPr>
          <w:rFonts w:ascii="Garamond" w:hAnsi="Garamond"/>
          <w:sz w:val="24"/>
          <w:szCs w:val="24"/>
        </w:rPr>
        <w:t xml:space="preserve">the </w:t>
      </w:r>
      <w:r w:rsidR="00A0311B">
        <w:rPr>
          <w:rFonts w:ascii="Garamond" w:hAnsi="Garamond"/>
          <w:sz w:val="24"/>
          <w:szCs w:val="24"/>
        </w:rPr>
        <w:t xml:space="preserve">appropriations rider evinces an </w:t>
      </w:r>
      <w:r w:rsidR="10A65FB1" w:rsidRPr="7BE5C404">
        <w:rPr>
          <w:rFonts w:ascii="Garamond" w:hAnsi="Garamond"/>
          <w:sz w:val="24"/>
          <w:szCs w:val="24"/>
        </w:rPr>
        <w:t>intent to indefinitely delay the traceability rule by exempting lot code information, the rule’s core element.</w:t>
      </w:r>
      <w:r w:rsidR="10A65FB1">
        <w:rPr>
          <w:rFonts w:ascii="Garamond" w:hAnsi="Garamond"/>
          <w:sz w:val="24"/>
          <w:szCs w:val="24"/>
        </w:rPr>
        <w:t xml:space="preserve"> </w:t>
      </w:r>
    </w:p>
    <w:p w14:paraId="43E810F8" w14:textId="77777777" w:rsidR="00D56D06" w:rsidRDefault="00D56D06" w:rsidP="00D56D06">
      <w:pPr>
        <w:pStyle w:val="NoSpacing"/>
        <w:ind w:left="-144" w:right="-144" w:firstLine="864"/>
        <w:jc w:val="both"/>
        <w:rPr>
          <w:rFonts w:ascii="Garamond" w:hAnsi="Garamond"/>
          <w:sz w:val="24"/>
          <w:szCs w:val="24"/>
        </w:rPr>
      </w:pPr>
    </w:p>
    <w:p w14:paraId="64045107" w14:textId="77777777" w:rsidR="00D56D06" w:rsidRDefault="2375742A" w:rsidP="00D56D06">
      <w:pPr>
        <w:pStyle w:val="NoSpacing"/>
        <w:ind w:left="-144" w:right="-144" w:firstLine="864"/>
        <w:jc w:val="both"/>
        <w:rPr>
          <w:rFonts w:ascii="Garamond" w:hAnsi="Garamond"/>
          <w:sz w:val="24"/>
          <w:szCs w:val="24"/>
        </w:rPr>
      </w:pPr>
      <w:r>
        <w:rPr>
          <w:rFonts w:ascii="Garamond" w:hAnsi="Garamond"/>
          <w:sz w:val="24"/>
          <w:szCs w:val="24"/>
        </w:rPr>
        <w:t xml:space="preserve">Such delays are unnecessary. </w:t>
      </w:r>
      <w:r w:rsidRPr="00AB3C9D">
        <w:rPr>
          <w:rFonts w:ascii="Garamond" w:hAnsi="Garamond"/>
          <w:sz w:val="24"/>
          <w:szCs w:val="24"/>
        </w:rPr>
        <w:t xml:space="preserve">FDA </w:t>
      </w:r>
      <w:r>
        <w:rPr>
          <w:rFonts w:ascii="Garamond" w:hAnsi="Garamond"/>
          <w:sz w:val="24"/>
          <w:szCs w:val="24"/>
        </w:rPr>
        <w:t xml:space="preserve">has already </w:t>
      </w:r>
      <w:r w:rsidRPr="00AB3C9D">
        <w:rPr>
          <w:rFonts w:ascii="Garamond" w:hAnsi="Garamond"/>
          <w:sz w:val="24"/>
          <w:szCs w:val="24"/>
        </w:rPr>
        <w:t>conducted traceability pilots in partnership with</w:t>
      </w:r>
      <w:r>
        <w:rPr>
          <w:rFonts w:ascii="Garamond" w:hAnsi="Garamond"/>
          <w:sz w:val="24"/>
          <w:szCs w:val="24"/>
        </w:rPr>
        <w:t xml:space="preserve"> </w:t>
      </w:r>
      <w:r w:rsidRPr="00AB3C9D">
        <w:rPr>
          <w:rFonts w:ascii="Garamond" w:hAnsi="Garamond"/>
          <w:sz w:val="24"/>
          <w:szCs w:val="24"/>
        </w:rPr>
        <w:t>industry and the Institute of Food Technology (IFT)</w:t>
      </w:r>
      <w:r>
        <w:rPr>
          <w:rFonts w:ascii="Garamond" w:hAnsi="Garamond"/>
          <w:sz w:val="24"/>
          <w:szCs w:val="24"/>
        </w:rPr>
        <w:t xml:space="preserve"> shortly after FSMA was passed, as detailed in an August 2012 report.</w:t>
      </w:r>
      <w:r w:rsidR="00477306">
        <w:rPr>
          <w:rStyle w:val="FootnoteReference"/>
          <w:rFonts w:ascii="Garamond" w:hAnsi="Garamond"/>
          <w:sz w:val="24"/>
          <w:szCs w:val="24"/>
        </w:rPr>
        <w:footnoteReference w:id="6"/>
      </w:r>
      <w:r w:rsidRPr="00AB3C9D">
        <w:rPr>
          <w:rFonts w:ascii="Garamond" w:hAnsi="Garamond"/>
          <w:sz w:val="24"/>
          <w:szCs w:val="24"/>
        </w:rPr>
        <w:t xml:space="preserve"> </w:t>
      </w:r>
      <w:r w:rsidR="00C54B44">
        <w:rPr>
          <w:rFonts w:ascii="Garamond" w:hAnsi="Garamond"/>
          <w:sz w:val="24"/>
          <w:szCs w:val="24"/>
        </w:rPr>
        <w:t>The</w:t>
      </w:r>
      <w:r w:rsidR="072F0EB0">
        <w:rPr>
          <w:rFonts w:ascii="Garamond" w:hAnsi="Garamond"/>
          <w:sz w:val="24"/>
          <w:szCs w:val="24"/>
        </w:rPr>
        <w:t xml:space="preserve"> </w:t>
      </w:r>
      <w:r w:rsidR="00A0311B">
        <w:rPr>
          <w:rFonts w:ascii="Garamond" w:hAnsi="Garamond"/>
          <w:sz w:val="24"/>
          <w:szCs w:val="24"/>
        </w:rPr>
        <w:t>appropriations rider</w:t>
      </w:r>
      <w:r w:rsidR="072F0EB0">
        <w:rPr>
          <w:rFonts w:ascii="Garamond" w:hAnsi="Garamond"/>
          <w:sz w:val="24"/>
          <w:szCs w:val="24"/>
        </w:rPr>
        <w:t xml:space="preserve"> </w:t>
      </w:r>
      <w:r w:rsidR="00A0311B">
        <w:rPr>
          <w:rFonts w:ascii="Garamond" w:hAnsi="Garamond"/>
          <w:sz w:val="24"/>
          <w:szCs w:val="24"/>
        </w:rPr>
        <w:t>would</w:t>
      </w:r>
      <w:r w:rsidR="072F0EB0">
        <w:rPr>
          <w:rFonts w:ascii="Garamond" w:hAnsi="Garamond"/>
          <w:sz w:val="24"/>
          <w:szCs w:val="24"/>
        </w:rPr>
        <w:t xml:space="preserve"> require</w:t>
      </w:r>
      <w:r>
        <w:rPr>
          <w:rFonts w:ascii="Garamond" w:hAnsi="Garamond"/>
          <w:sz w:val="24"/>
          <w:szCs w:val="24"/>
        </w:rPr>
        <w:t xml:space="preserve"> FDA</w:t>
      </w:r>
      <w:r w:rsidR="7C9B6D30">
        <w:rPr>
          <w:rFonts w:ascii="Garamond" w:hAnsi="Garamond"/>
          <w:sz w:val="24"/>
          <w:szCs w:val="24"/>
        </w:rPr>
        <w:t xml:space="preserve"> to</w:t>
      </w:r>
      <w:r>
        <w:rPr>
          <w:rFonts w:ascii="Garamond" w:hAnsi="Garamond"/>
          <w:sz w:val="24"/>
          <w:szCs w:val="24"/>
        </w:rPr>
        <w:t xml:space="preserve"> “</w:t>
      </w:r>
      <w:r w:rsidRPr="00F25BBD">
        <w:rPr>
          <w:rFonts w:ascii="Garamond" w:hAnsi="Garamond"/>
          <w:sz w:val="24"/>
          <w:szCs w:val="24"/>
        </w:rPr>
        <w:t>measure the effectiveness of foodborne illness outbreak investigations conducted without requiring tracing to a single lot code</w:t>
      </w:r>
      <w:r>
        <w:rPr>
          <w:rFonts w:ascii="Garamond" w:hAnsi="Garamond"/>
          <w:sz w:val="24"/>
          <w:szCs w:val="24"/>
        </w:rPr>
        <w:t>,” demanding that such pilots be “successful” before implementing the rule</w:t>
      </w:r>
      <w:r w:rsidR="00C54B44">
        <w:rPr>
          <w:rFonts w:ascii="Garamond" w:hAnsi="Garamond"/>
          <w:sz w:val="24"/>
          <w:szCs w:val="24"/>
        </w:rPr>
        <w:t xml:space="preserve">. But while </w:t>
      </w:r>
      <w:r w:rsidR="7EF8708A">
        <w:rPr>
          <w:rFonts w:ascii="Garamond" w:hAnsi="Garamond"/>
          <w:sz w:val="24"/>
          <w:szCs w:val="24"/>
        </w:rPr>
        <w:t>simple outbreaks</w:t>
      </w:r>
      <w:r w:rsidR="00C54B44">
        <w:rPr>
          <w:rFonts w:ascii="Garamond" w:hAnsi="Garamond"/>
          <w:sz w:val="24"/>
          <w:szCs w:val="24"/>
        </w:rPr>
        <w:t xml:space="preserve"> may lend themselves to that task</w:t>
      </w:r>
      <w:r w:rsidR="7EF8708A">
        <w:rPr>
          <w:rFonts w:ascii="Garamond" w:hAnsi="Garamond"/>
          <w:sz w:val="24"/>
          <w:szCs w:val="24"/>
        </w:rPr>
        <w:t>, challenging</w:t>
      </w:r>
      <w:r w:rsidR="00C54B44">
        <w:rPr>
          <w:rFonts w:ascii="Garamond" w:hAnsi="Garamond"/>
          <w:sz w:val="24"/>
          <w:szCs w:val="24"/>
        </w:rPr>
        <w:t xml:space="preserve"> cases will not</w:t>
      </w:r>
      <w:r w:rsidR="0DEB7081">
        <w:rPr>
          <w:rFonts w:ascii="Garamond" w:hAnsi="Garamond"/>
          <w:sz w:val="24"/>
          <w:szCs w:val="24"/>
        </w:rPr>
        <w:t>.</w:t>
      </w:r>
      <w:r w:rsidR="00C54B44">
        <w:rPr>
          <w:rFonts w:ascii="Garamond" w:hAnsi="Garamond"/>
          <w:sz w:val="24"/>
          <w:szCs w:val="24"/>
        </w:rPr>
        <w:t xml:space="preserve"> In other words</w:t>
      </w:r>
      <w:r w:rsidR="0DEB7081">
        <w:rPr>
          <w:rFonts w:ascii="Garamond" w:hAnsi="Garamond"/>
          <w:sz w:val="24"/>
          <w:szCs w:val="24"/>
        </w:rPr>
        <w:t>, the</w:t>
      </w:r>
      <w:r w:rsidR="00C54B44">
        <w:rPr>
          <w:rFonts w:ascii="Garamond" w:hAnsi="Garamond"/>
          <w:sz w:val="24"/>
          <w:szCs w:val="24"/>
        </w:rPr>
        <w:t xml:space="preserve"> appropriations rider contemplates a</w:t>
      </w:r>
      <w:r w:rsidR="0DEB7081">
        <w:rPr>
          <w:rFonts w:ascii="Garamond" w:hAnsi="Garamond"/>
          <w:sz w:val="24"/>
          <w:szCs w:val="24"/>
        </w:rPr>
        <w:t xml:space="preserve"> pilot </w:t>
      </w:r>
      <w:r w:rsidR="00C54B44">
        <w:rPr>
          <w:rFonts w:ascii="Garamond" w:hAnsi="Garamond"/>
          <w:sz w:val="24"/>
          <w:szCs w:val="24"/>
        </w:rPr>
        <w:t xml:space="preserve">that </w:t>
      </w:r>
      <w:r w:rsidR="0DEB7081">
        <w:rPr>
          <w:rFonts w:ascii="Garamond" w:hAnsi="Garamond"/>
          <w:sz w:val="24"/>
          <w:szCs w:val="24"/>
        </w:rPr>
        <w:t xml:space="preserve">would constrain the FDA to develop a </w:t>
      </w:r>
      <w:r w:rsidR="0A686EFC">
        <w:rPr>
          <w:rFonts w:ascii="Garamond" w:hAnsi="Garamond"/>
          <w:sz w:val="24"/>
          <w:szCs w:val="24"/>
        </w:rPr>
        <w:t>cherry-picked example</w:t>
      </w:r>
      <w:r w:rsidR="00C54B44">
        <w:rPr>
          <w:rFonts w:ascii="Garamond" w:hAnsi="Garamond"/>
          <w:sz w:val="24"/>
          <w:szCs w:val="24"/>
        </w:rPr>
        <w:t>, which in turn would</w:t>
      </w:r>
      <w:r w:rsidR="4E3A5D49">
        <w:rPr>
          <w:rFonts w:ascii="Garamond" w:hAnsi="Garamond"/>
          <w:sz w:val="24"/>
          <w:szCs w:val="24"/>
        </w:rPr>
        <w:t xml:space="preserve"> build the case </w:t>
      </w:r>
      <w:r w:rsidR="0DEB7081">
        <w:rPr>
          <w:rFonts w:ascii="Garamond" w:hAnsi="Garamond"/>
          <w:sz w:val="24"/>
          <w:szCs w:val="24"/>
        </w:rPr>
        <w:t>against a rule that FDA has already demonstrated is necessary to improve outbreak investigation</w:t>
      </w:r>
      <w:r w:rsidR="00C54B44">
        <w:rPr>
          <w:rFonts w:ascii="Garamond" w:hAnsi="Garamond"/>
          <w:sz w:val="24"/>
          <w:szCs w:val="24"/>
        </w:rPr>
        <w:t>s. The end result would be to</w:t>
      </w:r>
      <w:r w:rsidR="0DEB7081">
        <w:rPr>
          <w:rFonts w:ascii="Garamond" w:hAnsi="Garamond"/>
          <w:sz w:val="24"/>
          <w:szCs w:val="24"/>
        </w:rPr>
        <w:t xml:space="preserve"> hamper implementation of t</w:t>
      </w:r>
      <w:r w:rsidR="00C54B44">
        <w:rPr>
          <w:rFonts w:ascii="Garamond" w:hAnsi="Garamond"/>
          <w:sz w:val="24"/>
          <w:szCs w:val="24"/>
        </w:rPr>
        <w:t>h</w:t>
      </w:r>
      <w:r w:rsidR="0DEB7081">
        <w:rPr>
          <w:rFonts w:ascii="Garamond" w:hAnsi="Garamond"/>
          <w:sz w:val="24"/>
          <w:szCs w:val="24"/>
        </w:rPr>
        <w:t>e</w:t>
      </w:r>
      <w:r w:rsidR="00C54B44">
        <w:rPr>
          <w:rFonts w:ascii="Garamond" w:hAnsi="Garamond"/>
          <w:sz w:val="24"/>
          <w:szCs w:val="24"/>
        </w:rPr>
        <w:t xml:space="preserve"> traceability</w:t>
      </w:r>
      <w:r w:rsidR="0DEB7081">
        <w:rPr>
          <w:rFonts w:ascii="Garamond" w:hAnsi="Garamond"/>
          <w:sz w:val="24"/>
          <w:szCs w:val="24"/>
        </w:rPr>
        <w:t xml:space="preserve"> rule </w:t>
      </w:r>
      <w:r>
        <w:rPr>
          <w:rFonts w:ascii="Garamond" w:hAnsi="Garamond"/>
          <w:sz w:val="24"/>
          <w:szCs w:val="24"/>
        </w:rPr>
        <w:t xml:space="preserve">and waste taxpayer money. </w:t>
      </w:r>
    </w:p>
    <w:p w14:paraId="295F3B87" w14:textId="77777777" w:rsidR="00D56D06" w:rsidRDefault="00D56D06" w:rsidP="00D56D06">
      <w:pPr>
        <w:pStyle w:val="NoSpacing"/>
        <w:ind w:left="-144" w:right="-144" w:firstLine="864"/>
        <w:jc w:val="both"/>
        <w:rPr>
          <w:rFonts w:ascii="Garamond" w:hAnsi="Garamond"/>
          <w:sz w:val="24"/>
          <w:szCs w:val="24"/>
        </w:rPr>
      </w:pPr>
    </w:p>
    <w:p w14:paraId="4DB1C410" w14:textId="14A56D4F" w:rsidR="00F95273" w:rsidRDefault="2375742A" w:rsidP="00D56D06">
      <w:pPr>
        <w:pStyle w:val="NoSpacing"/>
        <w:ind w:left="-144" w:right="-144" w:firstLine="864"/>
        <w:jc w:val="both"/>
        <w:rPr>
          <w:rFonts w:ascii="Garamond" w:hAnsi="Garamond"/>
          <w:sz w:val="24"/>
          <w:szCs w:val="24"/>
        </w:rPr>
      </w:pPr>
      <w:r w:rsidRPr="7BE5C404">
        <w:rPr>
          <w:rFonts w:ascii="Garamond" w:hAnsi="Garamond"/>
          <w:sz w:val="24"/>
          <w:szCs w:val="24"/>
        </w:rPr>
        <w:t xml:space="preserve">Consumers have had to wait too long for FDA to put into place the traceability requirements that Congress ordered it to promulgate in 2010. We urge you to </w:t>
      </w:r>
      <w:r w:rsidR="23DC0398" w:rsidRPr="7BE5C404">
        <w:rPr>
          <w:rFonts w:ascii="Garamond" w:hAnsi="Garamond"/>
          <w:sz w:val="24"/>
          <w:szCs w:val="24"/>
        </w:rPr>
        <w:t>oppose</w:t>
      </w:r>
      <w:r w:rsidRPr="7BE5C404">
        <w:rPr>
          <w:rFonts w:ascii="Garamond" w:hAnsi="Garamond"/>
          <w:sz w:val="24"/>
          <w:szCs w:val="24"/>
        </w:rPr>
        <w:t xml:space="preserve"> the </w:t>
      </w:r>
      <w:r w:rsidR="1905B410" w:rsidRPr="7BE5C404">
        <w:rPr>
          <w:rFonts w:ascii="Garamond" w:hAnsi="Garamond"/>
          <w:sz w:val="24"/>
          <w:szCs w:val="24"/>
        </w:rPr>
        <w:t xml:space="preserve">FTEA </w:t>
      </w:r>
      <w:r w:rsidRPr="7BE5C404">
        <w:rPr>
          <w:rFonts w:ascii="Garamond" w:hAnsi="Garamond"/>
          <w:sz w:val="24"/>
          <w:szCs w:val="24"/>
        </w:rPr>
        <w:t xml:space="preserve">and </w:t>
      </w:r>
      <w:r w:rsidR="23DC0398" w:rsidRPr="7BE5C404">
        <w:rPr>
          <w:rFonts w:ascii="Garamond" w:hAnsi="Garamond"/>
          <w:sz w:val="24"/>
          <w:szCs w:val="24"/>
        </w:rPr>
        <w:t>Section 768 of</w:t>
      </w:r>
      <w:r w:rsidRPr="7BE5C404">
        <w:rPr>
          <w:rFonts w:ascii="Garamond" w:hAnsi="Garamond"/>
          <w:sz w:val="24"/>
          <w:szCs w:val="24"/>
        </w:rPr>
        <w:t xml:space="preserve"> the House appropriations bill</w:t>
      </w:r>
      <w:r w:rsidR="5A2A230A" w:rsidRPr="7BE5C404">
        <w:rPr>
          <w:rFonts w:ascii="Garamond" w:hAnsi="Garamond"/>
          <w:sz w:val="24"/>
          <w:szCs w:val="24"/>
        </w:rPr>
        <w:t>. Both legislative actions</w:t>
      </w:r>
      <w:r w:rsidR="00C54B44">
        <w:rPr>
          <w:rFonts w:ascii="Garamond" w:hAnsi="Garamond"/>
          <w:sz w:val="24"/>
          <w:szCs w:val="24"/>
        </w:rPr>
        <w:t xml:space="preserve"> </w:t>
      </w:r>
      <w:r w:rsidRPr="7BE5C404">
        <w:rPr>
          <w:rFonts w:ascii="Garamond" w:hAnsi="Garamond"/>
          <w:sz w:val="24"/>
          <w:szCs w:val="24"/>
        </w:rPr>
        <w:t xml:space="preserve">undermine longstanding </w:t>
      </w:r>
      <w:r w:rsidR="25B678D1" w:rsidRPr="7BE5C404">
        <w:rPr>
          <w:rFonts w:ascii="Garamond" w:hAnsi="Garamond"/>
          <w:sz w:val="24"/>
          <w:szCs w:val="24"/>
        </w:rPr>
        <w:t xml:space="preserve">Congressional </w:t>
      </w:r>
      <w:r w:rsidRPr="7BE5C404">
        <w:rPr>
          <w:rFonts w:ascii="Garamond" w:hAnsi="Garamond"/>
          <w:sz w:val="24"/>
          <w:szCs w:val="24"/>
        </w:rPr>
        <w:t xml:space="preserve">efforts to </w:t>
      </w:r>
      <w:r w:rsidR="23DC0398" w:rsidRPr="7BE5C404">
        <w:rPr>
          <w:rFonts w:ascii="Garamond" w:hAnsi="Garamond"/>
          <w:sz w:val="24"/>
          <w:szCs w:val="24"/>
        </w:rPr>
        <w:t xml:space="preserve">bring more transparency to the food supply chain and </w:t>
      </w:r>
      <w:r w:rsidRPr="7BE5C404">
        <w:rPr>
          <w:rFonts w:ascii="Garamond" w:hAnsi="Garamond"/>
          <w:sz w:val="24"/>
          <w:szCs w:val="24"/>
        </w:rPr>
        <w:t>protect consumers from foodborne illness</w:t>
      </w:r>
      <w:r w:rsidR="23DC0398" w:rsidRPr="7BE5C404">
        <w:rPr>
          <w:rFonts w:ascii="Garamond" w:hAnsi="Garamond"/>
          <w:sz w:val="24"/>
          <w:szCs w:val="24"/>
        </w:rPr>
        <w:t xml:space="preserve">. </w:t>
      </w:r>
    </w:p>
    <w:p w14:paraId="329640B5" w14:textId="77777777" w:rsidR="00F95273" w:rsidRDefault="00F95273" w:rsidP="007B4258">
      <w:pPr>
        <w:pStyle w:val="NoSpacing"/>
        <w:ind w:left="-144" w:right="-144" w:firstLine="720"/>
        <w:jc w:val="both"/>
        <w:rPr>
          <w:rFonts w:ascii="Garamond" w:hAnsi="Garamond" w:cs="Times New Roman"/>
          <w:sz w:val="24"/>
          <w:szCs w:val="24"/>
        </w:rPr>
      </w:pPr>
    </w:p>
    <w:p w14:paraId="44BCE116" w14:textId="77777777" w:rsidR="007B4258" w:rsidRDefault="007B4258" w:rsidP="007B4258">
      <w:pPr>
        <w:ind w:left="-144" w:right="-144" w:firstLine="720"/>
        <w:rPr>
          <w:rFonts w:ascii="Garamond" w:hAnsi="Garamond"/>
          <w:sz w:val="24"/>
          <w:szCs w:val="24"/>
        </w:rPr>
      </w:pPr>
      <w:r w:rsidRPr="00282C3B">
        <w:rPr>
          <w:rFonts w:ascii="Garamond" w:hAnsi="Garamond"/>
          <w:sz w:val="24"/>
          <w:szCs w:val="24"/>
        </w:rPr>
        <w:t xml:space="preserve">Sincerely, </w:t>
      </w:r>
    </w:p>
    <w:p w14:paraId="6146C14A" w14:textId="17A880EC" w:rsidR="00362819" w:rsidRDefault="00362819" w:rsidP="00A47644">
      <w:pPr>
        <w:spacing w:after="0" w:line="240" w:lineRule="auto"/>
        <w:ind w:left="-144" w:right="-144" w:firstLine="720"/>
        <w:rPr>
          <w:rFonts w:ascii="Garamond" w:hAnsi="Garamond"/>
          <w:sz w:val="24"/>
          <w:szCs w:val="24"/>
        </w:rPr>
      </w:pPr>
      <w:bookmarkStart w:id="4" w:name="_Hlk170193102"/>
      <w:r>
        <w:rPr>
          <w:rFonts w:ascii="Garamond" w:hAnsi="Garamond"/>
          <w:sz w:val="24"/>
          <w:szCs w:val="24"/>
        </w:rPr>
        <w:t>Center for Food Safety</w:t>
      </w:r>
    </w:p>
    <w:p w14:paraId="427CE561" w14:textId="4832D5F4" w:rsidR="00D56D06" w:rsidRDefault="00D56D06" w:rsidP="00A47644">
      <w:pPr>
        <w:spacing w:after="0" w:line="240" w:lineRule="auto"/>
        <w:ind w:left="-144" w:right="-144" w:firstLine="720"/>
        <w:rPr>
          <w:rFonts w:ascii="Garamond" w:hAnsi="Garamond"/>
          <w:sz w:val="24"/>
          <w:szCs w:val="24"/>
        </w:rPr>
      </w:pPr>
      <w:r>
        <w:rPr>
          <w:rFonts w:ascii="Garamond" w:hAnsi="Garamond"/>
          <w:sz w:val="24"/>
          <w:szCs w:val="24"/>
        </w:rPr>
        <w:t>Center for Science in the Public Interest</w:t>
      </w:r>
    </w:p>
    <w:p w14:paraId="6304CC3F" w14:textId="2D76D2AC" w:rsidR="00A47644" w:rsidRDefault="00A47644" w:rsidP="00A47644">
      <w:pPr>
        <w:spacing w:after="0" w:line="240" w:lineRule="auto"/>
        <w:ind w:left="-144" w:right="-144" w:firstLine="720"/>
        <w:rPr>
          <w:rFonts w:ascii="Garamond" w:hAnsi="Garamond"/>
          <w:sz w:val="24"/>
          <w:szCs w:val="24"/>
        </w:rPr>
      </w:pPr>
      <w:r w:rsidRPr="00A47644">
        <w:rPr>
          <w:rFonts w:ascii="Garamond" w:hAnsi="Garamond"/>
          <w:sz w:val="24"/>
          <w:szCs w:val="24"/>
        </w:rPr>
        <w:t>Consumer Federation of America</w:t>
      </w:r>
    </w:p>
    <w:p w14:paraId="0ABD5E5E" w14:textId="3FF6D6FA" w:rsidR="00D56D06" w:rsidRDefault="00D56D06" w:rsidP="00A47644">
      <w:pPr>
        <w:spacing w:after="0" w:line="240" w:lineRule="auto"/>
        <w:ind w:left="-144" w:right="-144" w:firstLine="720"/>
        <w:rPr>
          <w:rFonts w:ascii="Garamond" w:hAnsi="Garamond"/>
          <w:sz w:val="24"/>
          <w:szCs w:val="24"/>
        </w:rPr>
      </w:pPr>
      <w:r>
        <w:rPr>
          <w:rFonts w:ascii="Garamond" w:hAnsi="Garamond"/>
          <w:sz w:val="24"/>
          <w:szCs w:val="24"/>
        </w:rPr>
        <w:t>Consumer Reports</w:t>
      </w:r>
    </w:p>
    <w:p w14:paraId="12DFBDA8" w14:textId="6A62A8D2" w:rsidR="00D56D06" w:rsidRDefault="00D56D06" w:rsidP="00A47644">
      <w:pPr>
        <w:spacing w:after="0" w:line="240" w:lineRule="auto"/>
        <w:ind w:left="-144" w:right="-144" w:firstLine="720"/>
        <w:rPr>
          <w:rFonts w:ascii="Garamond" w:hAnsi="Garamond"/>
          <w:sz w:val="24"/>
          <w:szCs w:val="24"/>
        </w:rPr>
      </w:pPr>
      <w:r>
        <w:rPr>
          <w:rFonts w:ascii="Garamond" w:hAnsi="Garamond"/>
          <w:sz w:val="24"/>
          <w:szCs w:val="24"/>
        </w:rPr>
        <w:t>Food &amp; Water Watch</w:t>
      </w:r>
    </w:p>
    <w:p w14:paraId="0E1FC36D" w14:textId="5C515537" w:rsidR="00B85DA9" w:rsidRDefault="00B85DA9" w:rsidP="00A47644">
      <w:pPr>
        <w:spacing w:after="0" w:line="240" w:lineRule="auto"/>
        <w:ind w:left="-144" w:right="-144" w:firstLine="720"/>
        <w:rPr>
          <w:rFonts w:ascii="Garamond" w:hAnsi="Garamond"/>
          <w:sz w:val="24"/>
          <w:szCs w:val="24"/>
        </w:rPr>
      </w:pPr>
      <w:r>
        <w:rPr>
          <w:rFonts w:ascii="Garamond" w:hAnsi="Garamond"/>
          <w:sz w:val="24"/>
          <w:szCs w:val="24"/>
        </w:rPr>
        <w:t>Government Accountability Project</w:t>
      </w:r>
    </w:p>
    <w:p w14:paraId="05BCC363" w14:textId="11C80949" w:rsidR="00B85DA9" w:rsidRPr="00A47644" w:rsidRDefault="00B85DA9" w:rsidP="00A47644">
      <w:pPr>
        <w:spacing w:after="0" w:line="240" w:lineRule="auto"/>
        <w:ind w:left="-144" w:right="-144" w:firstLine="720"/>
        <w:rPr>
          <w:rFonts w:ascii="Garamond" w:hAnsi="Garamond"/>
          <w:sz w:val="24"/>
          <w:szCs w:val="24"/>
        </w:rPr>
      </w:pPr>
      <w:r>
        <w:rPr>
          <w:rFonts w:ascii="Garamond" w:hAnsi="Garamond"/>
          <w:sz w:val="24"/>
          <w:szCs w:val="24"/>
        </w:rPr>
        <w:t>National Consumers League</w:t>
      </w:r>
    </w:p>
    <w:p w14:paraId="145B776D" w14:textId="34A2DFD4" w:rsidR="005223DD" w:rsidRDefault="00D56D06">
      <w:r>
        <w:tab/>
      </w:r>
      <w:bookmarkEnd w:id="4"/>
    </w:p>
    <w:sectPr w:rsidR="00522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2DEA" w14:textId="77777777" w:rsidR="0061487D" w:rsidRDefault="0061487D" w:rsidP="007B4258">
      <w:pPr>
        <w:spacing w:after="0" w:line="240" w:lineRule="auto"/>
      </w:pPr>
      <w:r>
        <w:separator/>
      </w:r>
    </w:p>
  </w:endnote>
  <w:endnote w:type="continuationSeparator" w:id="0">
    <w:p w14:paraId="632FA2FD" w14:textId="77777777" w:rsidR="0061487D" w:rsidRDefault="0061487D" w:rsidP="007B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PCL6)">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0B0B" w14:textId="77777777" w:rsidR="0061487D" w:rsidRDefault="0061487D" w:rsidP="007B4258">
      <w:pPr>
        <w:spacing w:after="0" w:line="240" w:lineRule="auto"/>
      </w:pPr>
      <w:r>
        <w:separator/>
      </w:r>
    </w:p>
  </w:footnote>
  <w:footnote w:type="continuationSeparator" w:id="0">
    <w:p w14:paraId="1BE0BA07" w14:textId="77777777" w:rsidR="0061487D" w:rsidRDefault="0061487D" w:rsidP="007B4258">
      <w:pPr>
        <w:spacing w:after="0" w:line="240" w:lineRule="auto"/>
      </w:pPr>
      <w:r>
        <w:continuationSeparator/>
      </w:r>
    </w:p>
  </w:footnote>
  <w:footnote w:id="1">
    <w:p w14:paraId="42C16E04" w14:textId="77777777" w:rsidR="006148E3" w:rsidRPr="006722F0" w:rsidRDefault="006148E3" w:rsidP="006148E3">
      <w:pPr>
        <w:pStyle w:val="FootnoteText"/>
        <w:rPr>
          <w:rFonts w:ascii="Garamond" w:hAnsi="Garamond"/>
        </w:rPr>
      </w:pPr>
      <w:r w:rsidRPr="006722F0">
        <w:rPr>
          <w:rStyle w:val="FootnoteReference"/>
          <w:rFonts w:ascii="Garamond" w:hAnsi="Garamond"/>
        </w:rPr>
        <w:footnoteRef/>
      </w:r>
      <w:r w:rsidRPr="006722F0">
        <w:rPr>
          <w:rFonts w:ascii="Garamond" w:hAnsi="Garamond"/>
        </w:rPr>
        <w:t xml:space="preserve"> </w:t>
      </w:r>
      <w:bookmarkStart w:id="1" w:name="_Hlk170193162"/>
      <w:r w:rsidRPr="006722F0">
        <w:rPr>
          <w:rFonts w:ascii="Garamond" w:hAnsi="Garamond"/>
        </w:rPr>
        <w:t xml:space="preserve">Kimbrell, G., &amp; Talbott, R. (2019, June 11). Taking Foodborne Illness Off the Menu. Center for Food Safety. </w:t>
      </w:r>
      <w:hyperlink r:id="rId1" w:history="1">
        <w:r w:rsidRPr="006722F0">
          <w:rPr>
            <w:rStyle w:val="Hyperlink"/>
            <w:rFonts w:ascii="Garamond" w:hAnsi="Garamond"/>
          </w:rPr>
          <w:t>https://www.centerforfoodsafety.org/blog/5622/taking-foodborne-illness-off-the-menu</w:t>
        </w:r>
      </w:hyperlink>
      <w:r w:rsidRPr="006722F0">
        <w:rPr>
          <w:rFonts w:ascii="Garamond" w:hAnsi="Garamond"/>
        </w:rPr>
        <w:t xml:space="preserve"> </w:t>
      </w:r>
    </w:p>
    <w:bookmarkEnd w:id="1"/>
  </w:footnote>
  <w:footnote w:id="2">
    <w:p w14:paraId="5A48C9A8" w14:textId="77777777" w:rsidR="006148E3" w:rsidRPr="006722F0" w:rsidRDefault="006148E3" w:rsidP="006148E3">
      <w:pPr>
        <w:pStyle w:val="FootnoteText"/>
        <w:rPr>
          <w:rFonts w:ascii="Garamond" w:hAnsi="Garamond"/>
        </w:rPr>
      </w:pPr>
      <w:r w:rsidRPr="006722F0">
        <w:rPr>
          <w:rStyle w:val="FootnoteReference"/>
          <w:rFonts w:ascii="Garamond" w:hAnsi="Garamond"/>
        </w:rPr>
        <w:footnoteRef/>
      </w:r>
      <w:r w:rsidRPr="006722F0">
        <w:rPr>
          <w:rFonts w:ascii="Garamond" w:hAnsi="Garamond"/>
        </w:rPr>
        <w:t xml:space="preserve"> </w:t>
      </w:r>
      <w:bookmarkStart w:id="2" w:name="_Hlk170193179"/>
      <w:r w:rsidRPr="006722F0">
        <w:rPr>
          <w:rFonts w:ascii="Garamond" w:hAnsi="Garamond"/>
        </w:rPr>
        <w:t xml:space="preserve">FSMA Final Rule on Requirements for Additional Traceability Records for Certain Foods. (2024, April 17). U.S. Food and Drug Administration; FDA. </w:t>
      </w:r>
      <w:hyperlink r:id="rId2" w:history="1">
        <w:r w:rsidRPr="006722F0">
          <w:rPr>
            <w:rStyle w:val="Hyperlink"/>
            <w:rFonts w:ascii="Garamond" w:hAnsi="Garamond"/>
          </w:rPr>
          <w:t>https://www.fda.gov/food/food-safety-modernization-act-fsma/fsma-final-rule-requirements-additional-traceability-records-certain-foods</w:t>
        </w:r>
      </w:hyperlink>
      <w:bookmarkEnd w:id="2"/>
      <w:r w:rsidRPr="006722F0">
        <w:rPr>
          <w:rFonts w:ascii="Garamond" w:hAnsi="Garamond"/>
        </w:rPr>
        <w:t xml:space="preserve"> </w:t>
      </w:r>
    </w:p>
  </w:footnote>
  <w:footnote w:id="3">
    <w:p w14:paraId="6B3948E4" w14:textId="77777777" w:rsidR="00477306" w:rsidRPr="00B71137" w:rsidRDefault="00477306" w:rsidP="00477306">
      <w:pPr>
        <w:pStyle w:val="FootnoteText"/>
        <w:rPr>
          <w:rFonts w:ascii="Garamond" w:hAnsi="Garamond"/>
        </w:rPr>
      </w:pPr>
      <w:r w:rsidRPr="00B71137">
        <w:rPr>
          <w:rStyle w:val="FootnoteReference"/>
          <w:rFonts w:ascii="Garamond" w:hAnsi="Garamond"/>
        </w:rPr>
        <w:footnoteRef/>
      </w:r>
      <w:r w:rsidRPr="00B71137">
        <w:rPr>
          <w:rFonts w:ascii="Garamond" w:hAnsi="Garamond"/>
        </w:rPr>
        <w:t xml:space="preserve"> </w:t>
      </w:r>
      <w:bookmarkStart w:id="3" w:name="_Hlk170193192"/>
      <w:r w:rsidRPr="00B71137">
        <w:rPr>
          <w:rFonts w:ascii="Garamond" w:hAnsi="Garamond"/>
        </w:rPr>
        <w:t xml:space="preserve">Letter from Stuart Aitken and Gabriel </w:t>
      </w:r>
      <w:r w:rsidRPr="00B71137">
        <w:rPr>
          <w:rFonts w:ascii="Garamond" w:hAnsi="Garamond"/>
        </w:rPr>
        <w:t xml:space="preserve">Arreaga to Kroger suppliers RE: The Kroger Co Food Traceability Policy &amp; Requirements (December 1, 2023). </w:t>
      </w:r>
      <w:hyperlink r:id="rId3" w:history="1">
        <w:r w:rsidRPr="00B71137">
          <w:rPr>
            <w:rStyle w:val="Hyperlink"/>
            <w:rFonts w:ascii="Garamond" w:hAnsi="Garamond"/>
          </w:rPr>
          <w:t>https://edi.kroger.com/EDIPortal/documents/Maps/kroger-modernized-systems/Food%20Traceability%20Requirements.pdf</w:t>
        </w:r>
      </w:hyperlink>
      <w:bookmarkEnd w:id="3"/>
      <w:r w:rsidRPr="00B71137">
        <w:rPr>
          <w:rFonts w:ascii="Garamond" w:hAnsi="Garamond"/>
        </w:rPr>
        <w:t xml:space="preserve"> </w:t>
      </w:r>
    </w:p>
  </w:footnote>
  <w:footnote w:id="4">
    <w:p w14:paraId="4EDD74AD" w14:textId="77777777" w:rsidR="00477306" w:rsidRPr="00B71137" w:rsidRDefault="00477306" w:rsidP="00477306">
      <w:pPr>
        <w:pStyle w:val="FootnoteText"/>
        <w:rPr>
          <w:rFonts w:ascii="Garamond" w:hAnsi="Garamond"/>
        </w:rPr>
      </w:pPr>
      <w:r w:rsidRPr="00B71137">
        <w:rPr>
          <w:rStyle w:val="FootnoteReference"/>
          <w:rFonts w:ascii="Garamond" w:hAnsi="Garamond"/>
        </w:rPr>
        <w:footnoteRef/>
      </w:r>
      <w:r w:rsidRPr="00B71137">
        <w:rPr>
          <w:rFonts w:ascii="Garamond" w:hAnsi="Garamond"/>
        </w:rPr>
        <w:t xml:space="preserve"> FMI Applauds Introduction of Legislation to Address Challenges with FDA’s Food Traceability Rule. (2024, March 6). The Food Industry Association. </w:t>
      </w:r>
      <w:hyperlink r:id="rId4" w:history="1">
        <w:r w:rsidRPr="00B71137">
          <w:rPr>
            <w:rStyle w:val="Hyperlink"/>
            <w:rFonts w:ascii="Garamond" w:hAnsi="Garamond"/>
          </w:rPr>
          <w:t>https://www.fmi.org/newsroom/news-archive/view/2024/03/06/fmi-applauds-introduction-of-legislation-to-address-challenges-with-fda-s-food-traceability-rule</w:t>
        </w:r>
      </w:hyperlink>
      <w:r w:rsidRPr="00B71137">
        <w:rPr>
          <w:rFonts w:ascii="Garamond" w:hAnsi="Garamond"/>
        </w:rPr>
        <w:t xml:space="preserve"> </w:t>
      </w:r>
    </w:p>
  </w:footnote>
  <w:footnote w:id="5">
    <w:p w14:paraId="671FE332" w14:textId="77777777" w:rsidR="00477306" w:rsidRPr="00CA2E7D" w:rsidRDefault="00477306" w:rsidP="00477306">
      <w:pPr>
        <w:pStyle w:val="FootnoteText"/>
        <w:rPr>
          <w:rFonts w:ascii="Garamond" w:hAnsi="Garamond"/>
        </w:rPr>
      </w:pPr>
      <w:r w:rsidRPr="00CA2E7D">
        <w:rPr>
          <w:rStyle w:val="FootnoteReference"/>
          <w:rFonts w:ascii="Garamond" w:hAnsi="Garamond"/>
        </w:rPr>
        <w:footnoteRef/>
      </w:r>
      <w:r w:rsidRPr="00CA2E7D">
        <w:rPr>
          <w:rFonts w:ascii="Garamond" w:hAnsi="Garamond"/>
        </w:rPr>
        <w:t xml:space="preserve"> Agriculture, Rural Development, Food and Drug Administration, and Related Agencies Appropriations Act, 2025, Sec. 768, 118</w:t>
      </w:r>
      <w:r w:rsidRPr="00CA2E7D">
        <w:rPr>
          <w:rFonts w:ascii="Garamond" w:hAnsi="Garamond"/>
          <w:vertAlign w:val="superscript"/>
        </w:rPr>
        <w:t>th</w:t>
      </w:r>
      <w:r w:rsidRPr="00CA2E7D">
        <w:rPr>
          <w:rFonts w:ascii="Garamond" w:hAnsi="Garamond"/>
        </w:rPr>
        <w:t xml:space="preserve"> Cong. </w:t>
      </w:r>
      <w:hyperlink r:id="rId5" w:history="1">
        <w:r w:rsidRPr="00CA2E7D">
          <w:rPr>
            <w:rStyle w:val="Hyperlink"/>
            <w:rFonts w:ascii="Garamond" w:hAnsi="Garamond"/>
          </w:rPr>
          <w:t>https://appropriations.house.gov/news/press-releases/committee-releases-fy25-agriculture-rural-development-food-and-drug</w:t>
        </w:r>
      </w:hyperlink>
      <w:r w:rsidRPr="00CA2E7D">
        <w:rPr>
          <w:rFonts w:ascii="Garamond" w:hAnsi="Garamond"/>
        </w:rPr>
        <w:t xml:space="preserve"> </w:t>
      </w:r>
    </w:p>
  </w:footnote>
  <w:footnote w:id="6">
    <w:p w14:paraId="04D5D282" w14:textId="77777777" w:rsidR="00477306" w:rsidRPr="00B71137" w:rsidRDefault="00477306" w:rsidP="00477306">
      <w:pPr>
        <w:pStyle w:val="FootnoteText"/>
        <w:rPr>
          <w:rFonts w:ascii="Garamond" w:hAnsi="Garamond"/>
        </w:rPr>
      </w:pPr>
      <w:r w:rsidRPr="00B71137">
        <w:rPr>
          <w:rStyle w:val="FootnoteReference"/>
          <w:rFonts w:ascii="Garamond" w:hAnsi="Garamond"/>
        </w:rPr>
        <w:footnoteRef/>
      </w:r>
      <w:r w:rsidRPr="00B71137">
        <w:rPr>
          <w:rFonts w:ascii="Garamond" w:hAnsi="Garamond"/>
        </w:rPr>
        <w:t xml:space="preserve"> Food Traceability. (n.d.). Institute of Food Technologists. Retrieved June 18, 2024, from </w:t>
      </w:r>
      <w:hyperlink r:id="rId6" w:history="1">
        <w:r w:rsidRPr="00B71137">
          <w:rPr>
            <w:rStyle w:val="Hyperlink"/>
            <w:rFonts w:ascii="Garamond" w:hAnsi="Garamond"/>
          </w:rPr>
          <w:t>https://www.ift.org/policy-and-advocacy/advocacy-toolkits/food-traceability</w:t>
        </w:r>
      </w:hyperlink>
      <w:r w:rsidRPr="00B71137">
        <w:rPr>
          <w:rFonts w:ascii="Garamond" w:hAnsi="Garamond"/>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58"/>
    <w:rsid w:val="000226F0"/>
    <w:rsid w:val="002C3635"/>
    <w:rsid w:val="00303A95"/>
    <w:rsid w:val="00362819"/>
    <w:rsid w:val="00431D2A"/>
    <w:rsid w:val="00477306"/>
    <w:rsid w:val="005223DD"/>
    <w:rsid w:val="00547F8C"/>
    <w:rsid w:val="0061487D"/>
    <w:rsid w:val="006148E3"/>
    <w:rsid w:val="00787B75"/>
    <w:rsid w:val="007B4258"/>
    <w:rsid w:val="00815046"/>
    <w:rsid w:val="00914DBC"/>
    <w:rsid w:val="0093183A"/>
    <w:rsid w:val="00957828"/>
    <w:rsid w:val="009B05FD"/>
    <w:rsid w:val="009C7948"/>
    <w:rsid w:val="00A0311B"/>
    <w:rsid w:val="00A147B4"/>
    <w:rsid w:val="00A47644"/>
    <w:rsid w:val="00A478B4"/>
    <w:rsid w:val="00A6371C"/>
    <w:rsid w:val="00B85DA9"/>
    <w:rsid w:val="00C54B44"/>
    <w:rsid w:val="00D23C57"/>
    <w:rsid w:val="00D56D06"/>
    <w:rsid w:val="00DB0A23"/>
    <w:rsid w:val="00E949F2"/>
    <w:rsid w:val="00F95273"/>
    <w:rsid w:val="01ABA80D"/>
    <w:rsid w:val="02B68306"/>
    <w:rsid w:val="05320EF7"/>
    <w:rsid w:val="0534A240"/>
    <w:rsid w:val="066083A0"/>
    <w:rsid w:val="072F0EB0"/>
    <w:rsid w:val="085C52B6"/>
    <w:rsid w:val="0A686EFC"/>
    <w:rsid w:val="0AC0601A"/>
    <w:rsid w:val="0ACEA3CA"/>
    <w:rsid w:val="0DEB7081"/>
    <w:rsid w:val="10A65FB1"/>
    <w:rsid w:val="12886BC1"/>
    <w:rsid w:val="12E68C46"/>
    <w:rsid w:val="14466ED4"/>
    <w:rsid w:val="18238D6A"/>
    <w:rsid w:val="1905B410"/>
    <w:rsid w:val="1DD0F873"/>
    <w:rsid w:val="1E1A3C73"/>
    <w:rsid w:val="1EA48B05"/>
    <w:rsid w:val="1EC07A7F"/>
    <w:rsid w:val="1FC32575"/>
    <w:rsid w:val="21E85B05"/>
    <w:rsid w:val="2375742A"/>
    <w:rsid w:val="23DC0398"/>
    <w:rsid w:val="25B678D1"/>
    <w:rsid w:val="25F4AE5A"/>
    <w:rsid w:val="2728E879"/>
    <w:rsid w:val="2A233E50"/>
    <w:rsid w:val="2B0A5BCF"/>
    <w:rsid w:val="2B54F21E"/>
    <w:rsid w:val="2C5A57EB"/>
    <w:rsid w:val="2EBC108E"/>
    <w:rsid w:val="3069A00F"/>
    <w:rsid w:val="31E8E347"/>
    <w:rsid w:val="350756A5"/>
    <w:rsid w:val="352DDA4F"/>
    <w:rsid w:val="378B2B9B"/>
    <w:rsid w:val="38204308"/>
    <w:rsid w:val="38707C44"/>
    <w:rsid w:val="3A7EC2D8"/>
    <w:rsid w:val="3CB4BAB7"/>
    <w:rsid w:val="413E5C11"/>
    <w:rsid w:val="4277322B"/>
    <w:rsid w:val="42B2267E"/>
    <w:rsid w:val="4332E5BE"/>
    <w:rsid w:val="4800875E"/>
    <w:rsid w:val="493EAFA7"/>
    <w:rsid w:val="49E95702"/>
    <w:rsid w:val="4E3A5D49"/>
    <w:rsid w:val="4E3F41DE"/>
    <w:rsid w:val="50DF94D2"/>
    <w:rsid w:val="52276634"/>
    <w:rsid w:val="5366CCCF"/>
    <w:rsid w:val="536D95AD"/>
    <w:rsid w:val="549602B4"/>
    <w:rsid w:val="55A8E46E"/>
    <w:rsid w:val="56105940"/>
    <w:rsid w:val="5A2A230A"/>
    <w:rsid w:val="5A9E7C55"/>
    <w:rsid w:val="5AD363FB"/>
    <w:rsid w:val="5DB01AFC"/>
    <w:rsid w:val="620C4753"/>
    <w:rsid w:val="6495FABF"/>
    <w:rsid w:val="6687295E"/>
    <w:rsid w:val="69344EF5"/>
    <w:rsid w:val="6AC275D3"/>
    <w:rsid w:val="6AE183F3"/>
    <w:rsid w:val="6B31DC23"/>
    <w:rsid w:val="6B919BCD"/>
    <w:rsid w:val="6E11DE80"/>
    <w:rsid w:val="6FDCF949"/>
    <w:rsid w:val="7182B2CB"/>
    <w:rsid w:val="71D7AAED"/>
    <w:rsid w:val="75FADF1D"/>
    <w:rsid w:val="79A84693"/>
    <w:rsid w:val="7BE5C404"/>
    <w:rsid w:val="7C9B6D30"/>
    <w:rsid w:val="7EF8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5FAB"/>
  <w15:chartTrackingRefBased/>
  <w15:docId w15:val="{8892D32B-A6BA-4CE4-BED4-A73F738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258"/>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258"/>
    <w:pPr>
      <w:spacing w:after="0" w:line="240" w:lineRule="auto"/>
    </w:pPr>
    <w:rPr>
      <w:kern w:val="0"/>
    </w:rPr>
  </w:style>
  <w:style w:type="paragraph" w:styleId="FootnoteText">
    <w:name w:val="footnote text"/>
    <w:basedOn w:val="Normal"/>
    <w:link w:val="FootnoteTextChar"/>
    <w:uiPriority w:val="99"/>
    <w:semiHidden/>
    <w:unhideWhenUsed/>
    <w:rsid w:val="007B4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58"/>
    <w:rPr>
      <w:kern w:val="0"/>
      <w:sz w:val="20"/>
      <w:szCs w:val="20"/>
    </w:rPr>
  </w:style>
  <w:style w:type="character" w:styleId="FootnoteReference">
    <w:name w:val="footnote reference"/>
    <w:basedOn w:val="DefaultParagraphFont"/>
    <w:uiPriority w:val="99"/>
    <w:semiHidden/>
    <w:unhideWhenUsed/>
    <w:rsid w:val="007B4258"/>
    <w:rPr>
      <w:vertAlign w:val="superscript"/>
    </w:rPr>
  </w:style>
  <w:style w:type="character" w:styleId="Hyperlink">
    <w:name w:val="Hyperlink"/>
    <w:basedOn w:val="DefaultParagraphFont"/>
    <w:uiPriority w:val="99"/>
    <w:unhideWhenUsed/>
    <w:rsid w:val="007B4258"/>
    <w:rPr>
      <w:color w:val="0000FF"/>
      <w:u w:val="single"/>
    </w:rPr>
  </w:style>
  <w:style w:type="paragraph" w:styleId="Title">
    <w:name w:val="Title"/>
    <w:basedOn w:val="Normal"/>
    <w:link w:val="TitleChar"/>
    <w:qFormat/>
    <w:rsid w:val="007B4258"/>
    <w:pPr>
      <w:spacing w:after="0" w:line="240" w:lineRule="auto"/>
      <w:jc w:val="center"/>
    </w:pPr>
    <w:rPr>
      <w:rFonts w:ascii="Helvetica (PCL6)" w:eastAsia="Times New Roman" w:hAnsi="Helvetica (PCL6)" w:cs="Times New Roman"/>
      <w:b/>
      <w:bCs/>
      <w:sz w:val="32"/>
      <w:szCs w:val="24"/>
    </w:rPr>
  </w:style>
  <w:style w:type="character" w:customStyle="1" w:styleId="TitleChar">
    <w:name w:val="Title Char"/>
    <w:basedOn w:val="DefaultParagraphFont"/>
    <w:link w:val="Title"/>
    <w:rsid w:val="007B4258"/>
    <w:rPr>
      <w:rFonts w:ascii="Helvetica (PCL6)" w:eastAsia="Times New Roman" w:hAnsi="Helvetica (PCL6)" w:cs="Times New Roman"/>
      <w:b/>
      <w:bCs/>
      <w:kern w:val="0"/>
      <w:sz w:val="32"/>
      <w:szCs w:val="24"/>
    </w:rPr>
  </w:style>
  <w:style w:type="character" w:styleId="FollowedHyperlink">
    <w:name w:val="FollowedHyperlink"/>
    <w:basedOn w:val="DefaultParagraphFont"/>
    <w:uiPriority w:val="99"/>
    <w:semiHidden/>
    <w:unhideWhenUsed/>
    <w:rsid w:val="007B4258"/>
    <w:rPr>
      <w:color w:val="954F72" w:themeColor="followedHyperlink"/>
      <w:u w:val="single"/>
    </w:rPr>
  </w:style>
  <w:style w:type="character" w:styleId="CommentReference">
    <w:name w:val="annotation reference"/>
    <w:basedOn w:val="DefaultParagraphFont"/>
    <w:uiPriority w:val="99"/>
    <w:semiHidden/>
    <w:unhideWhenUsed/>
    <w:rsid w:val="002C3635"/>
    <w:rPr>
      <w:sz w:val="16"/>
      <w:szCs w:val="16"/>
    </w:rPr>
  </w:style>
  <w:style w:type="paragraph" w:styleId="CommentText">
    <w:name w:val="annotation text"/>
    <w:basedOn w:val="Normal"/>
    <w:link w:val="CommentTextChar"/>
    <w:uiPriority w:val="99"/>
    <w:unhideWhenUsed/>
    <w:rsid w:val="002C3635"/>
    <w:pPr>
      <w:spacing w:line="240" w:lineRule="auto"/>
    </w:pPr>
    <w:rPr>
      <w:sz w:val="20"/>
      <w:szCs w:val="20"/>
    </w:rPr>
  </w:style>
  <w:style w:type="character" w:customStyle="1" w:styleId="CommentTextChar">
    <w:name w:val="Comment Text Char"/>
    <w:basedOn w:val="DefaultParagraphFont"/>
    <w:link w:val="CommentText"/>
    <w:uiPriority w:val="99"/>
    <w:rsid w:val="002C3635"/>
    <w:rPr>
      <w:kern w:val="0"/>
      <w:sz w:val="20"/>
      <w:szCs w:val="20"/>
    </w:rPr>
  </w:style>
  <w:style w:type="paragraph" w:styleId="CommentSubject">
    <w:name w:val="annotation subject"/>
    <w:basedOn w:val="CommentText"/>
    <w:next w:val="CommentText"/>
    <w:link w:val="CommentSubjectChar"/>
    <w:uiPriority w:val="99"/>
    <w:semiHidden/>
    <w:unhideWhenUsed/>
    <w:rsid w:val="002C3635"/>
    <w:rPr>
      <w:b/>
      <w:bCs/>
    </w:rPr>
  </w:style>
  <w:style w:type="character" w:customStyle="1" w:styleId="CommentSubjectChar">
    <w:name w:val="Comment Subject Char"/>
    <w:basedOn w:val="CommentTextChar"/>
    <w:link w:val="CommentSubject"/>
    <w:uiPriority w:val="99"/>
    <w:semiHidden/>
    <w:rsid w:val="002C3635"/>
    <w:rPr>
      <w:b/>
      <w:bCs/>
      <w:kern w:val="0"/>
      <w:sz w:val="20"/>
      <w:szCs w:val="20"/>
    </w:rPr>
  </w:style>
  <w:style w:type="paragraph" w:styleId="Revision">
    <w:name w:val="Revision"/>
    <w:hidden/>
    <w:uiPriority w:val="99"/>
    <w:semiHidden/>
    <w:rsid w:val="00A478B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di.kroger.com/EDIPortal/documents/Maps/kroger-modernized-systems/Food%20Traceability%20Requirements.pdf" TargetMode="External"/><Relationship Id="rId2" Type="http://schemas.openxmlformats.org/officeDocument/2006/relationships/hyperlink" Target="https://www.fda.gov/food/food-safety-modernization-act-fsma/fsma-final-rule-requirements-additional-traceability-records-certain-foods" TargetMode="External"/><Relationship Id="rId1" Type="http://schemas.openxmlformats.org/officeDocument/2006/relationships/hyperlink" Target="https://www.centerforfoodsafety.org/blog/5622/taking-foodborne-illness-off-the-menu" TargetMode="External"/><Relationship Id="rId6" Type="http://schemas.openxmlformats.org/officeDocument/2006/relationships/hyperlink" Target="https://www.ift.org/policy-and-advocacy/advocacy-toolkits/food-traceability" TargetMode="External"/><Relationship Id="rId5" Type="http://schemas.openxmlformats.org/officeDocument/2006/relationships/hyperlink" Target="https://appropriations.house.gov/news/press-releases/committee-releases-fy25-agriculture-rural-development-food-and-drug" TargetMode="External"/><Relationship Id="rId4" Type="http://schemas.openxmlformats.org/officeDocument/2006/relationships/hyperlink" Target="https://www.fmi.org/newsroom/news-archive/view/2024/03/06/fmi-applauds-introduction-of-legislation-to-address-challenges-with-fda-s-food-traceability-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Gremillion</dc:creator>
  <cp:keywords/>
  <dc:description/>
  <cp:lastModifiedBy>McCauley, Michael</cp:lastModifiedBy>
  <cp:revision>2</cp:revision>
  <dcterms:created xsi:type="dcterms:W3CDTF">2024-06-25T12:43:00Z</dcterms:created>
  <dcterms:modified xsi:type="dcterms:W3CDTF">2024-06-25T12:43:00Z</dcterms:modified>
</cp:coreProperties>
</file>