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Senate</w:t>
      </w: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  20510</w:t>
      </w:r>
    </w:p>
    <w:p w:rsidR="0033439D" w:rsidRDefault="0033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20, 2017 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Senator: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behalf of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Consumers Union, the policy arm of nonprofit Consumer Reports, we write 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express our strong opposition to the repeal of the Affordable Care Act (ACA) without an adequate and simultaneous replacement that, </w:t>
      </w:r>
      <w:r>
        <w:rPr>
          <w:rFonts w:ascii="Times New Roman" w:eastAsia="Times New Roman" w:hAnsi="Times New Roman" w:cs="Times New Roman"/>
          <w:sz w:val="24"/>
          <w:szCs w:val="24"/>
        </w:rPr>
        <w:t>at minimum, maintains coverage for the number of people currently covered, provides comparable consumer protections, and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tects the current reach and availability of Medicaid.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an organization whose founding principles include ensuring access to quality, affordable health coverage and care for all, we believe this legislation would jeopardize both the health and financial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ecurity of American families. 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 Americans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deserve care and coverage that is accessible, affordable, understandable, fairly priced, and meets high, uniform standards for quality and safety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The ACA was an important step towards this goal, allowing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20 million consumers to purchase private insurance through exchanges or benefit from the Medicaid expansion, thus lowering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uninsurance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rate in our nation to its lowest point ever. 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its evaluation of a plan to eliminate the ACA’s mandate penalt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and subsidies but leave the ACA’s insurance market reforms in place, the nonpartisan Congressional Budget Office (CBO) projected that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17 million consumers would lose insurance coverage the first year that repeal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legislation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enacted, rising to an est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imated 32 million uninsured by 2026.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the first year after the repeal bill is enacted, CBO estimates 10 percent of Americans would live in an area that has no insurer participating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nongroup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market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that share would rise to 50 percent by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0, and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75% of Americans by 2026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Further, for those areas in which individual market coverage remains available, average premiums would increase by roughly 25 percent—relative to projections under current law—in 2018; 50 percent in 2020; and 100% by 2026.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impact on consumers who would have received premium tax credits under the ACA would be much larger.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4"/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Furthermore, starting in 2020, the repeal of the Medicaid expansion and elimination of subsidies for lower-income consumers would strike a severe blo</w:t>
      </w:r>
      <w:r>
        <w:rPr>
          <w:rFonts w:ascii="Times New Roman" w:eastAsia="Times New Roman" w:hAnsi="Times New Roman" w:cs="Times New Roman"/>
          <w:sz w:val="24"/>
          <w:szCs w:val="24"/>
        </w:rPr>
        <w:t>w to those with the greatest financial need.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Consumers should not be taken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back to a time when insurance coverage was completely out of reach and unreliable for so many Americans. We, therefore, strongly urge you to oppose the effort to repeal the Afford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able Care Act and any rollback of the tremendous gains we have made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in attaining lifesaving coverage for millions of Americans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Instead, we strongly urge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Senators to work in a bipartisan manner to strengthen health care coverage and affordability for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consumers. 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Sincerely,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  <w:lang w:val="en-US"/>
        </w:rPr>
        <w:drawing>
          <wp:inline distT="114300" distB="114300" distL="114300" distR="114300">
            <wp:extent cx="1625203" cy="4333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203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Imholz</w:t>
      </w:r>
      <w:proofErr w:type="spellEnd"/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Special Projects Director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  <w:lang w:val="en-US"/>
        </w:rPr>
        <w:drawing>
          <wp:inline distT="114300" distB="114300" distL="114300" distR="114300">
            <wp:extent cx="1271588" cy="53904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539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39D" w:rsidRDefault="00BF612D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Victoria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Burack</w:t>
      </w:r>
      <w:proofErr w:type="spellEnd"/>
    </w:p>
    <w:p w:rsidR="0033439D" w:rsidRDefault="00BF612D">
      <w:pPr>
        <w:spacing w:line="240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Health Policy Analyst</w:t>
      </w:r>
    </w:p>
    <w:p w:rsidR="0033439D" w:rsidRDefault="00334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39D" w:rsidRDefault="0033439D"/>
    <w:sectPr w:rsidR="0033439D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612D">
      <w:pPr>
        <w:spacing w:line="240" w:lineRule="auto"/>
      </w:pPr>
      <w:r>
        <w:separator/>
      </w:r>
    </w:p>
  </w:endnote>
  <w:endnote w:type="continuationSeparator" w:id="0">
    <w:p w:rsidR="00000000" w:rsidRDefault="00BF6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612D">
      <w:pPr>
        <w:spacing w:line="240" w:lineRule="auto"/>
      </w:pPr>
      <w:r>
        <w:separator/>
      </w:r>
    </w:p>
  </w:footnote>
  <w:footnote w:type="continuationSeparator" w:id="0">
    <w:p w:rsidR="00000000" w:rsidRDefault="00BF612D">
      <w:pPr>
        <w:spacing w:line="240" w:lineRule="auto"/>
      </w:pPr>
      <w:r>
        <w:continuationSeparator/>
      </w:r>
    </w:p>
  </w:footnote>
  <w:footnote w:id="1"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Congressional Budget Office,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H.R. 1628 Obamacare Repeal Reconciliation Act of 2017</w:t>
      </w:r>
      <w:r>
        <w:rPr>
          <w:rFonts w:ascii="Times New Roman" w:eastAsia="Times New Roman" w:hAnsi="Times New Roman" w:cs="Times New Roman"/>
          <w:sz w:val="18"/>
          <w:szCs w:val="18"/>
        </w:rPr>
        <w:t>, (July 19, 2017) at p.1.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Available at </w:t>
      </w:r>
      <w:hyperlink r:id="rId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https://www.cbo.gov/publication/52371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</w:footnote>
  <w:footnote w:id="2"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Ibid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at 8.</w:t>
      </w:r>
      <w:proofErr w:type="gramEnd"/>
    </w:p>
  </w:footnote>
  <w:footnote w:id="3">
    <w:p w:rsidR="0033439D" w:rsidRDefault="00BF612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Ibid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t 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</w:footnote>
  <w:footnote w:id="4">
    <w:p w:rsidR="0033439D" w:rsidRDefault="00BF612D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Ibid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at 11.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9D" w:rsidRDefault="0033439D"/>
  <w:p w:rsidR="0033439D" w:rsidRDefault="00BF612D">
    <w:r>
      <w:rPr>
        <w:noProof/>
        <w:lang w:val="en-US"/>
      </w:rPr>
      <w:drawing>
        <wp:inline distT="114300" distB="114300" distL="114300" distR="114300">
          <wp:extent cx="4505325" cy="687410"/>
          <wp:effectExtent l="0" t="0" r="0" b="0"/>
          <wp:docPr id="3" name="image6.jpg" descr="cu_tagline_color_lar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u_tagline_color_lar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5325" cy="68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439D"/>
    <w:rsid w:val="0033439D"/>
    <w:rsid w:val="00B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o.gov/system/files/115th-congress-2017-2018/costestimate/52939-hr1628amend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Reports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Burack, Victoria</dc:creator>
  <cp:lastModifiedBy>Burack, Victoria</cp:lastModifiedBy>
  <cp:revision>2</cp:revision>
  <dcterms:created xsi:type="dcterms:W3CDTF">2017-07-20T17:50:00Z</dcterms:created>
  <dcterms:modified xsi:type="dcterms:W3CDTF">2017-07-20T17:50:00Z</dcterms:modified>
</cp:coreProperties>
</file>